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D83918" w14:textId="77777777" w:rsidR="00541B09" w:rsidRPr="008528D8" w:rsidRDefault="00541B09" w:rsidP="00541B09">
      <w:pPr>
        <w:pStyle w:val="BodyText"/>
        <w:jc w:val="left"/>
      </w:pPr>
      <w:r w:rsidRPr="008528D8">
        <w:t>JUDEŢUL SATU MARE</w:t>
      </w:r>
    </w:p>
    <w:p w14:paraId="7F1302B1" w14:textId="5EBFCC50" w:rsidR="00541B09" w:rsidRPr="008528D8" w:rsidRDefault="00541B09" w:rsidP="00541B09">
      <w:pPr>
        <w:pStyle w:val="BodyText"/>
        <w:jc w:val="left"/>
      </w:pPr>
      <w:r w:rsidRPr="008528D8">
        <w:t>CONSILIUL JUDEŢEAN SATU MARE</w:t>
      </w:r>
    </w:p>
    <w:p w14:paraId="175B2A41" w14:textId="6F67A6C7" w:rsidR="00541B09" w:rsidRPr="008528D8" w:rsidRDefault="00541B09" w:rsidP="00541B09">
      <w:pPr>
        <w:pStyle w:val="BodyText"/>
        <w:jc w:val="left"/>
      </w:pPr>
      <w:r w:rsidRPr="008528D8">
        <w:t>PREŞEDINTE</w:t>
      </w:r>
    </w:p>
    <w:p w14:paraId="1F70AD19" w14:textId="5B5D7D7F" w:rsidR="00541B09" w:rsidRPr="008528D8" w:rsidRDefault="00541B09" w:rsidP="00541B09">
      <w:pPr>
        <w:pStyle w:val="BodyText"/>
        <w:jc w:val="left"/>
        <w:rPr>
          <w:b w:val="0"/>
          <w:bCs/>
        </w:rPr>
      </w:pPr>
      <w:r w:rsidRPr="008528D8">
        <w:rPr>
          <w:b w:val="0"/>
          <w:bCs/>
        </w:rPr>
        <w:t xml:space="preserve"> NR._________/___________</w:t>
      </w:r>
      <w:r w:rsidR="00A3646D" w:rsidRPr="008528D8">
        <w:rPr>
          <w:b w:val="0"/>
          <w:bCs/>
        </w:rPr>
        <w:t>___</w:t>
      </w:r>
    </w:p>
    <w:p w14:paraId="40AD5560" w14:textId="77777777" w:rsidR="00541B09" w:rsidRPr="008528D8" w:rsidRDefault="00541B09" w:rsidP="00541B09">
      <w:pPr>
        <w:rPr>
          <w:rFonts w:ascii="Times New Roman" w:hAnsi="Times New Roman" w:cs="Times New Roman"/>
          <w:b/>
          <w:sz w:val="24"/>
          <w:szCs w:val="24"/>
        </w:rPr>
      </w:pPr>
      <w:r w:rsidRPr="008528D8">
        <w:rPr>
          <w:rFonts w:ascii="Times New Roman" w:hAnsi="Times New Roman" w:cs="Times New Roman"/>
          <w:b/>
          <w:sz w:val="24"/>
          <w:szCs w:val="24"/>
        </w:rPr>
        <w:t xml:space="preserve">                              </w:t>
      </w:r>
    </w:p>
    <w:p w14:paraId="54B10DAE" w14:textId="77777777" w:rsidR="00541B09" w:rsidRPr="008528D8" w:rsidRDefault="00541B09" w:rsidP="00541B09">
      <w:pPr>
        <w:spacing w:after="0" w:line="240" w:lineRule="auto"/>
        <w:rPr>
          <w:rFonts w:ascii="Times New Roman" w:hAnsi="Times New Roman" w:cs="Times New Roman"/>
          <w:b/>
          <w:sz w:val="24"/>
          <w:szCs w:val="24"/>
        </w:rPr>
      </w:pPr>
      <w:r w:rsidRPr="008528D8">
        <w:rPr>
          <w:rFonts w:ascii="Times New Roman" w:hAnsi="Times New Roman" w:cs="Times New Roman"/>
          <w:b/>
          <w:sz w:val="24"/>
          <w:szCs w:val="24"/>
        </w:rPr>
        <w:t xml:space="preserve">                                                       REFERAT DE APROBARE</w:t>
      </w:r>
    </w:p>
    <w:p w14:paraId="5F7DAE63" w14:textId="77777777" w:rsidR="00A3646D" w:rsidRPr="008528D8" w:rsidRDefault="00A3646D" w:rsidP="00A3646D">
      <w:pPr>
        <w:spacing w:after="0" w:line="240" w:lineRule="auto"/>
        <w:jc w:val="center"/>
        <w:rPr>
          <w:rFonts w:ascii="Times New Roman" w:eastAsia="Times New Roman" w:hAnsi="Times New Roman" w:cs="Times New Roman"/>
          <w:b/>
          <w:iCs/>
          <w:sz w:val="24"/>
          <w:szCs w:val="24"/>
          <w:lang w:val="ro-RO"/>
        </w:rPr>
      </w:pPr>
      <w:r w:rsidRPr="008528D8">
        <w:rPr>
          <w:rFonts w:ascii="Times New Roman" w:eastAsia="Times New Roman" w:hAnsi="Times New Roman" w:cs="Times New Roman"/>
          <w:b/>
          <w:iCs/>
          <w:sz w:val="24"/>
          <w:szCs w:val="24"/>
          <w:lang w:val="ro-RO"/>
        </w:rPr>
        <w:t xml:space="preserve">privind  aprobarea Studiului de fezabilitate, a Indicatorilor tehnico-economici și a Devizului general pentru obiectivul de investiții </w:t>
      </w:r>
    </w:p>
    <w:p w14:paraId="66F786F3" w14:textId="62D29C40" w:rsidR="00A50068" w:rsidRDefault="00A3646D" w:rsidP="00A50068">
      <w:pPr>
        <w:spacing w:after="0" w:line="240" w:lineRule="auto"/>
        <w:ind w:firstLine="720"/>
        <w:jc w:val="center"/>
        <w:rPr>
          <w:rFonts w:ascii="Times New Roman" w:eastAsia="Times New Roman" w:hAnsi="Times New Roman" w:cs="Times New Roman"/>
          <w:b/>
          <w:bCs/>
          <w:iCs/>
          <w:sz w:val="24"/>
          <w:szCs w:val="24"/>
          <w:lang w:val="ro-RO"/>
        </w:rPr>
      </w:pPr>
      <w:r w:rsidRPr="008528D8">
        <w:rPr>
          <w:rFonts w:ascii="Times New Roman" w:eastAsia="Times New Roman" w:hAnsi="Times New Roman" w:cs="Times New Roman"/>
          <w:b/>
          <w:bCs/>
          <w:iCs/>
          <w:sz w:val="24"/>
          <w:szCs w:val="24"/>
          <w:lang w:val="ro-RO"/>
        </w:rPr>
        <w:t>„DRUM EXPRES PETEA-SATU MARE-BAIA MARE, SECTOR SATU MARE-BAIA MARE”</w:t>
      </w:r>
    </w:p>
    <w:p w14:paraId="4101078C" w14:textId="77777777" w:rsidR="00A50068" w:rsidRPr="008528D8" w:rsidRDefault="00A50068" w:rsidP="00A50068">
      <w:pPr>
        <w:spacing w:after="0" w:line="240" w:lineRule="auto"/>
        <w:ind w:firstLine="720"/>
        <w:jc w:val="center"/>
        <w:rPr>
          <w:rFonts w:ascii="Times New Roman" w:hAnsi="Times New Roman" w:cs="Times New Roman"/>
          <w:b/>
          <w:bCs/>
          <w:color w:val="000000" w:themeColor="text1"/>
          <w:sz w:val="24"/>
          <w:szCs w:val="24"/>
        </w:rPr>
      </w:pPr>
    </w:p>
    <w:p w14:paraId="4A4FAA23" w14:textId="77777777" w:rsidR="009F5F9B" w:rsidRPr="009F5F9B" w:rsidRDefault="009F5F9B" w:rsidP="00B3548B">
      <w:pPr>
        <w:spacing w:after="0" w:line="240" w:lineRule="auto"/>
        <w:ind w:firstLine="720"/>
        <w:jc w:val="both"/>
        <w:rPr>
          <w:rFonts w:ascii="Times New Roman" w:hAnsi="Times New Roman" w:cs="Times New Roman"/>
          <w:color w:val="000000"/>
          <w:lang w:val="ro-RO"/>
        </w:rPr>
      </w:pPr>
      <w:bookmarkStart w:id="0" w:name="_Toc72215960"/>
      <w:bookmarkStart w:id="1" w:name="_Toc72216049"/>
      <w:r w:rsidRPr="009F5F9B">
        <w:rPr>
          <w:rFonts w:ascii="Times New Roman" w:hAnsi="Times New Roman" w:cs="Times New Roman"/>
          <w:color w:val="000000"/>
          <w:lang w:val="ro-RO"/>
        </w:rPr>
        <w:t xml:space="preserve">Strategia privind infrastructura rutieră din România, are în vedere preluarea eficientă a traficului, dezvoltarea regională echilibrată, eliminarea decalajelor și aplicarea unui sistem eficient de gestionare și întreținere a tuturor drumurilor naționale. Din punct de vedere al politicii de transporturi obiectivul general al strategiei în domeniul transporturilor îl reprezintă asigurarea infrastructurii și serviciilor capabile să fie suportul activității economice și sociale, pentru îmbunătățirea calității vieții.   </w:t>
      </w:r>
    </w:p>
    <w:p w14:paraId="6D3EE424" w14:textId="77777777" w:rsidR="009F5F9B" w:rsidRPr="009F5F9B" w:rsidRDefault="009F5F9B" w:rsidP="00B3548B">
      <w:pPr>
        <w:spacing w:after="0" w:line="240" w:lineRule="auto"/>
        <w:ind w:firstLine="720"/>
        <w:jc w:val="both"/>
        <w:rPr>
          <w:rFonts w:ascii="Times New Roman" w:hAnsi="Times New Roman" w:cs="Times New Roman"/>
          <w:color w:val="000000"/>
          <w:lang w:val="ro-RO"/>
        </w:rPr>
      </w:pPr>
      <w:r w:rsidRPr="009F5F9B">
        <w:rPr>
          <w:rFonts w:ascii="Times New Roman" w:hAnsi="Times New Roman" w:cs="Times New Roman"/>
          <w:color w:val="000000"/>
          <w:lang w:val="ro-RO"/>
        </w:rPr>
        <w:t>Programul Operațional Transport (POT) 2021-2027 răspunde nevoilor de dezvoltare ale României identificate în Acordul de Parteneriat 2021-2027 şi în acord cu Raportul de țară și Recomandările specifice de Țară. Prin urmare principala provocare pe care POT 2021-2027 va trebui să o rezolve o reprezintă recuperarea decalajului de dezvoltare a infrastructurii de transport a României, de a adapta inclusiv utilizarea duală a infrastructurii de transport și de a asigura în același timp atingerea obiectivelor europene de reducere a emisiilor de carbon și transferul spre o mobilitate durabilă și sigură.</w:t>
      </w:r>
    </w:p>
    <w:p w14:paraId="20C33AB5" w14:textId="193209D9" w:rsidR="009F5F9B" w:rsidRPr="009F5F9B" w:rsidRDefault="009F5F9B" w:rsidP="00B3548B">
      <w:pPr>
        <w:spacing w:after="0" w:line="240" w:lineRule="auto"/>
        <w:ind w:firstLine="720"/>
        <w:jc w:val="both"/>
        <w:rPr>
          <w:rFonts w:ascii="Times New Roman" w:hAnsi="Times New Roman" w:cs="Times New Roman"/>
          <w:color w:val="000000"/>
          <w:lang w:val="ro-RO"/>
        </w:rPr>
      </w:pPr>
      <w:r w:rsidRPr="009F5F9B">
        <w:rPr>
          <w:rFonts w:ascii="Times New Roman" w:hAnsi="Times New Roman" w:cs="Times New Roman"/>
          <w:color w:val="000000"/>
          <w:lang w:val="ro-RO"/>
        </w:rPr>
        <w:t>Viziunea strategică a Ministerului Transporturilor, Infrastructurii și Comunicațiilor, este dată de Master Planul General de Transport al României, document agreat de către Comisia Europeană și aprobat prin Hotărâre</w:t>
      </w:r>
      <w:r w:rsidR="00852AE8">
        <w:rPr>
          <w:rFonts w:ascii="Times New Roman" w:hAnsi="Times New Roman" w:cs="Times New Roman"/>
          <w:color w:val="000000"/>
          <w:lang w:val="ro-RO"/>
        </w:rPr>
        <w:t>a</w:t>
      </w:r>
      <w:r w:rsidRPr="009F5F9B">
        <w:rPr>
          <w:rFonts w:ascii="Times New Roman" w:hAnsi="Times New Roman" w:cs="Times New Roman"/>
          <w:color w:val="000000"/>
          <w:lang w:val="ro-RO"/>
        </w:rPr>
        <w:t xml:space="preserve"> de Guvern </w:t>
      </w:r>
      <w:r w:rsidR="00852AE8">
        <w:rPr>
          <w:rFonts w:ascii="Times New Roman" w:hAnsi="Times New Roman" w:cs="Times New Roman"/>
          <w:color w:val="000000"/>
          <w:lang w:val="ro-RO"/>
        </w:rPr>
        <w:t>nr.666 di</w:t>
      </w:r>
      <w:r w:rsidRPr="009F5F9B">
        <w:rPr>
          <w:rFonts w:ascii="Times New Roman" w:hAnsi="Times New Roman" w:cs="Times New Roman"/>
          <w:color w:val="000000"/>
          <w:lang w:val="ro-RO"/>
        </w:rPr>
        <w:t>n data de 14.09.2016. Master Planul General de Transport al României are asociată Strategia de Implementare care stabilește, în baza unei ierarhizări și a unei prioritizări a proiectelor, programul acțiune și intervenție pentru fiecare dintre proiecte, precum și corelarea nevoilor financiare ale acestora, cu sursele financiare disponibile.</w:t>
      </w:r>
    </w:p>
    <w:p w14:paraId="7CAFEE84" w14:textId="77777777" w:rsidR="009F5F9B" w:rsidRPr="009F5F9B" w:rsidRDefault="009F5F9B" w:rsidP="00B3548B">
      <w:pPr>
        <w:spacing w:after="0" w:line="240" w:lineRule="auto"/>
        <w:ind w:firstLine="720"/>
        <w:jc w:val="both"/>
        <w:rPr>
          <w:rFonts w:ascii="Times New Roman" w:hAnsi="Times New Roman" w:cs="Times New Roman"/>
          <w:color w:val="000000"/>
          <w:lang w:val="ro-RO"/>
        </w:rPr>
      </w:pPr>
      <w:r w:rsidRPr="009F5F9B">
        <w:rPr>
          <w:rFonts w:ascii="Times New Roman" w:hAnsi="Times New Roman" w:cs="Times New Roman"/>
          <w:color w:val="000000"/>
          <w:lang w:val="ro-RO"/>
        </w:rPr>
        <w:t xml:space="preserve">Ministerul Transporturilor, Infrastructurii și Comunicațiilor împreună cu experții Jaspers și BEI - PASSA, a elaborat în anul 2020 Planul Investițional pentru dezvoltarea infrastructurii de transport pe perioada 2020-2030, care reconfirmă prioritățile României în domeniul transporturilor și actualizează strategia de implementare a proiectelor. </w:t>
      </w:r>
    </w:p>
    <w:p w14:paraId="045E4A13" w14:textId="77777777" w:rsidR="009F5F9B" w:rsidRPr="009F5F9B" w:rsidRDefault="009F5F9B" w:rsidP="00B3548B">
      <w:pPr>
        <w:spacing w:after="0" w:line="240" w:lineRule="auto"/>
        <w:ind w:firstLine="720"/>
        <w:jc w:val="both"/>
        <w:rPr>
          <w:rFonts w:ascii="Times New Roman" w:hAnsi="Times New Roman" w:cs="Times New Roman"/>
          <w:color w:val="000000"/>
          <w:lang w:val="ro-RO"/>
        </w:rPr>
      </w:pPr>
      <w:r w:rsidRPr="009F5F9B">
        <w:rPr>
          <w:rFonts w:ascii="Times New Roman" w:hAnsi="Times New Roman" w:cs="Times New Roman"/>
          <w:color w:val="000000"/>
          <w:lang w:val="ro-RO"/>
        </w:rPr>
        <w:t>Sectorul de drum expres Baia Mare - Satu Mare face parte din rețeaua rutieră primară a României și reprezintă o parte a drumului expres Someș, care asigură conectivitatea rutieră în partea de NV a României, între Autostrada A3 (zona Turda) - Cluj-Napoca (zona Apahida) - Dej (Beclean - Bistrița) - Baia Mare (Livada - Halmeu) - Satu Mare - Oar.</w:t>
      </w:r>
    </w:p>
    <w:p w14:paraId="304C61CB" w14:textId="77777777" w:rsidR="009F5F9B" w:rsidRPr="009F5F9B" w:rsidRDefault="009F5F9B" w:rsidP="00B3548B">
      <w:pPr>
        <w:spacing w:after="0" w:line="240" w:lineRule="auto"/>
        <w:ind w:firstLine="720"/>
        <w:jc w:val="both"/>
        <w:rPr>
          <w:rFonts w:ascii="Times New Roman" w:hAnsi="Times New Roman" w:cs="Times New Roman"/>
          <w:color w:val="000000"/>
          <w:lang w:val="ro-RO"/>
        </w:rPr>
      </w:pPr>
      <w:r w:rsidRPr="009F5F9B">
        <w:rPr>
          <w:rFonts w:ascii="Times New Roman" w:hAnsi="Times New Roman" w:cs="Times New Roman"/>
          <w:color w:val="000000"/>
          <w:lang w:val="ro-RO"/>
        </w:rPr>
        <w:t>Așadar, coridorul de transport constituit de drumul expres Someș (din care face parte și sectorul de drum expres Baia Mare - Satu Mare) este constituit din proiecte rutiere care se regăsesc în cadrul documentelor strategice la nivel național și european și anume Master Planul General de Transport al României și Planul Investițional pentru Dezvoltarea Infrastructurii de Transport pentru perioada 2020-2030.</w:t>
      </w:r>
    </w:p>
    <w:p w14:paraId="107E5668" w14:textId="77777777" w:rsidR="009F5F9B" w:rsidRPr="009F5F9B" w:rsidRDefault="009F5F9B" w:rsidP="00B92E5F">
      <w:pPr>
        <w:spacing w:line="240" w:lineRule="auto"/>
        <w:ind w:firstLine="567"/>
        <w:jc w:val="both"/>
        <w:rPr>
          <w:rFonts w:ascii="Times New Roman" w:hAnsi="Times New Roman" w:cs="Times New Roman"/>
          <w:b/>
          <w:iCs/>
          <w:lang w:val="ro-RO"/>
        </w:rPr>
      </w:pPr>
      <w:r w:rsidRPr="009F5F9B">
        <w:rPr>
          <w:rFonts w:ascii="Times New Roman" w:hAnsi="Times New Roman" w:cs="Times New Roman"/>
          <w:b/>
          <w:iCs/>
          <w:lang w:val="ro-RO"/>
        </w:rPr>
        <w:t>Obiectivul General</w:t>
      </w:r>
    </w:p>
    <w:p w14:paraId="59C58981" w14:textId="77777777" w:rsidR="009F5F9B" w:rsidRPr="009F5F9B" w:rsidRDefault="009F5F9B" w:rsidP="00B92E5F">
      <w:pPr>
        <w:spacing w:line="240" w:lineRule="auto"/>
        <w:ind w:firstLine="567"/>
        <w:jc w:val="both"/>
        <w:rPr>
          <w:rFonts w:ascii="Times New Roman" w:hAnsi="Times New Roman" w:cs="Times New Roman"/>
          <w:bCs/>
          <w:iCs/>
          <w:lang w:val="ro-RO"/>
        </w:rPr>
      </w:pPr>
      <w:bookmarkStart w:id="2" w:name="_Hlk140670249"/>
      <w:r w:rsidRPr="009F5F9B">
        <w:rPr>
          <w:rFonts w:ascii="Times New Roman" w:hAnsi="Times New Roman" w:cs="Times New Roman"/>
          <w:bCs/>
          <w:iCs/>
          <w:lang w:val="ro-RO"/>
        </w:rPr>
        <w:t>Obiectivul general al proiectului este îmbunătățirea competitivității economice a României prin dezvoltarea infrastructurii de transport care facilitează integrarea economică în UE, contribuind astfel la dezvoltarea pieței interne cu scopul de a crea condițiile pentru creșterea volumului investițiilor, promovarea transportului durabil și a coeziunii în rețeaua de drumuri europene.</w:t>
      </w:r>
    </w:p>
    <w:bookmarkEnd w:id="2"/>
    <w:p w14:paraId="0A38FCC6" w14:textId="77777777" w:rsidR="009F5F9B" w:rsidRPr="009F5F9B" w:rsidRDefault="009F5F9B" w:rsidP="00B92E5F">
      <w:pPr>
        <w:spacing w:line="240" w:lineRule="auto"/>
        <w:ind w:firstLine="567"/>
        <w:jc w:val="both"/>
        <w:rPr>
          <w:rFonts w:ascii="Times New Roman" w:hAnsi="Times New Roman" w:cs="Times New Roman"/>
          <w:color w:val="000000"/>
          <w:lang w:val="ro-RO"/>
        </w:rPr>
      </w:pPr>
      <w:r w:rsidRPr="009F5F9B">
        <w:rPr>
          <w:rFonts w:ascii="Times New Roman" w:hAnsi="Times New Roman" w:cs="Times New Roman"/>
          <w:b/>
          <w:color w:val="000000"/>
          <w:lang w:val="ro-RO"/>
        </w:rPr>
        <w:t xml:space="preserve">Obiectivul principal al proiectului </w:t>
      </w:r>
      <w:r w:rsidRPr="009F5F9B">
        <w:rPr>
          <w:rFonts w:ascii="Times New Roman" w:hAnsi="Times New Roman" w:cs="Times New Roman"/>
          <w:color w:val="000000"/>
          <w:lang w:val="ro-RO"/>
        </w:rPr>
        <w:t xml:space="preserve">îl reprezintă conectivitatea celor doi mari poli de dezvoltare din cadrul Regiunii de Dezvoltare Nord-Vest, municipiile Satu Mare și Baia Mare, precum și a localităților din lungul aliniamentului drumului expres, la rețelele principale de transport din România și țările vecine. </w:t>
      </w:r>
    </w:p>
    <w:p w14:paraId="0E6CCFB8" w14:textId="77777777" w:rsidR="00B92E5F" w:rsidRDefault="009F5F9B" w:rsidP="00B92E5F">
      <w:pPr>
        <w:spacing w:line="240" w:lineRule="auto"/>
        <w:ind w:firstLine="567"/>
        <w:jc w:val="both"/>
        <w:rPr>
          <w:rFonts w:ascii="Times New Roman" w:hAnsi="Times New Roman" w:cs="Times New Roman"/>
          <w:b/>
          <w:iCs/>
          <w:lang w:val="ro-RO"/>
        </w:rPr>
      </w:pPr>
      <w:r w:rsidRPr="009F5F9B">
        <w:rPr>
          <w:rFonts w:ascii="Times New Roman" w:hAnsi="Times New Roman" w:cs="Times New Roman"/>
          <w:b/>
          <w:iCs/>
          <w:lang w:val="ro-RO"/>
        </w:rPr>
        <w:t>Obiectivele Specifice</w:t>
      </w:r>
    </w:p>
    <w:p w14:paraId="37BB6253" w14:textId="468C462C" w:rsidR="009F5F9B" w:rsidRPr="009F5F9B" w:rsidRDefault="009F5F9B" w:rsidP="00CC0E0F">
      <w:pPr>
        <w:spacing w:line="240" w:lineRule="auto"/>
        <w:ind w:firstLine="567"/>
        <w:jc w:val="both"/>
        <w:rPr>
          <w:rFonts w:ascii="Times New Roman" w:hAnsi="Times New Roman" w:cs="Times New Roman"/>
          <w:color w:val="000000"/>
          <w:lang w:val="ro-RO" w:eastAsia="ro-RO"/>
        </w:rPr>
      </w:pPr>
      <w:r w:rsidRPr="009F5F9B">
        <w:rPr>
          <w:rFonts w:ascii="Times New Roman" w:hAnsi="Times New Roman" w:cs="Times New Roman"/>
          <w:color w:val="000000"/>
          <w:lang w:val="ro-RO" w:eastAsia="ro-RO"/>
        </w:rPr>
        <w:t>creșterea calității vieții comunităților din lungul drumurilor naționale care vor fi decongestionante prin implementarea acestui proiectceea ce va avea impact asupra scăderii numărului de accidente, reducerea poluării fonice și a aerului cu gaze cu efect de seră</w:t>
      </w:r>
    </w:p>
    <w:p w14:paraId="2AB7E784" w14:textId="77777777" w:rsidR="009F5F9B" w:rsidRPr="009F5F9B" w:rsidRDefault="009F5F9B" w:rsidP="00CC0E0F">
      <w:pPr>
        <w:tabs>
          <w:tab w:val="left" w:pos="426"/>
        </w:tabs>
        <w:spacing w:line="240" w:lineRule="auto"/>
        <w:ind w:firstLine="567"/>
        <w:contextualSpacing/>
        <w:jc w:val="both"/>
        <w:rPr>
          <w:rFonts w:ascii="Times New Roman" w:hAnsi="Times New Roman" w:cs="Times New Roman"/>
          <w:color w:val="000000"/>
          <w:lang w:val="ro-RO" w:eastAsia="ro-RO"/>
        </w:rPr>
      </w:pPr>
      <w:r w:rsidRPr="009F5F9B">
        <w:rPr>
          <w:rFonts w:ascii="Times New Roman" w:hAnsi="Times New Roman" w:cs="Times New Roman"/>
          <w:color w:val="000000"/>
          <w:lang w:val="ro-RO" w:eastAsia="ro-RO"/>
        </w:rPr>
        <w:lastRenderedPageBreak/>
        <w:t>creșterea atractivității aceste regiuni pentru investiții și implicit crearea de noi locuri de muncă și creșterea dinamicii mediului de afaceri.</w:t>
      </w:r>
    </w:p>
    <w:p w14:paraId="6C3972DD" w14:textId="77777777" w:rsidR="009F5F9B" w:rsidRPr="009F5F9B" w:rsidRDefault="009F5F9B" w:rsidP="00B92E5F">
      <w:pPr>
        <w:tabs>
          <w:tab w:val="left" w:pos="426"/>
        </w:tabs>
        <w:spacing w:line="240" w:lineRule="auto"/>
        <w:ind w:firstLine="567"/>
        <w:contextualSpacing/>
        <w:jc w:val="both"/>
        <w:rPr>
          <w:rFonts w:ascii="Times New Roman" w:hAnsi="Times New Roman" w:cs="Times New Roman"/>
          <w:color w:val="000000"/>
          <w:lang w:val="ro-RO" w:eastAsia="ro-RO"/>
        </w:rPr>
      </w:pPr>
      <w:r w:rsidRPr="009F5F9B">
        <w:rPr>
          <w:rFonts w:ascii="Times New Roman" w:hAnsi="Times New Roman" w:cs="Times New Roman"/>
          <w:color w:val="000000"/>
          <w:lang w:val="ro-RO" w:eastAsia="ro-RO"/>
        </w:rPr>
        <w:t>asigurarea accesului pentru populație și pentru mediul de afaceri la rețeaua TEN – T de bază și la rețeaua extinsă, prin construcția coridoarelor de legătură națională;</w:t>
      </w:r>
    </w:p>
    <w:p w14:paraId="72F88629" w14:textId="77777777" w:rsidR="009F5F9B" w:rsidRPr="009F5F9B" w:rsidRDefault="009F5F9B" w:rsidP="00B92E5F">
      <w:pPr>
        <w:tabs>
          <w:tab w:val="left" w:pos="426"/>
        </w:tabs>
        <w:spacing w:line="240" w:lineRule="auto"/>
        <w:ind w:firstLine="567"/>
        <w:contextualSpacing/>
        <w:jc w:val="both"/>
        <w:rPr>
          <w:rFonts w:ascii="Times New Roman" w:hAnsi="Times New Roman" w:cs="Times New Roman"/>
          <w:color w:val="000000"/>
          <w:lang w:val="ro-RO" w:eastAsia="ro-RO"/>
        </w:rPr>
      </w:pPr>
      <w:r w:rsidRPr="009F5F9B">
        <w:rPr>
          <w:rFonts w:ascii="Times New Roman" w:hAnsi="Times New Roman" w:cs="Times New Roman"/>
          <w:color w:val="000000"/>
          <w:lang w:val="ro-RO" w:eastAsia="ro-RO"/>
        </w:rPr>
        <w:t>asigurarea unei rețele de transport rutier sigure șioperaționale, care să contribuie la reducerea numărului de accidente rutiere, precum și la reducerea timpilor de călătorie;</w:t>
      </w:r>
    </w:p>
    <w:p w14:paraId="433FD917" w14:textId="77777777" w:rsidR="009F5F9B" w:rsidRPr="009F5F9B" w:rsidRDefault="009F5F9B" w:rsidP="00B92E5F">
      <w:pPr>
        <w:tabs>
          <w:tab w:val="left" w:pos="426"/>
        </w:tabs>
        <w:spacing w:line="240" w:lineRule="auto"/>
        <w:ind w:firstLine="567"/>
        <w:contextualSpacing/>
        <w:jc w:val="both"/>
        <w:rPr>
          <w:rFonts w:ascii="Times New Roman" w:hAnsi="Times New Roman" w:cs="Times New Roman"/>
          <w:color w:val="000000"/>
          <w:lang w:val="ro-RO" w:eastAsia="ro-RO"/>
        </w:rPr>
      </w:pPr>
      <w:r w:rsidRPr="009F5F9B">
        <w:rPr>
          <w:rFonts w:ascii="Times New Roman" w:hAnsi="Times New Roman" w:cs="Times New Roman"/>
          <w:color w:val="000000"/>
          <w:lang w:val="ro-RO" w:eastAsia="ro-RO"/>
        </w:rPr>
        <w:t>îmbunătățirea condițiilor pentru transportul de mărfuri, precum și asigurarea spațiilor de parcare și odihnă pentru participanții la trafic, asigurarea măsurilor de siguranță pentru transportatori, conform cerințelor UE.</w:t>
      </w:r>
    </w:p>
    <w:p w14:paraId="03782D7D" w14:textId="77777777" w:rsidR="009F5F9B" w:rsidRPr="009F5F9B" w:rsidRDefault="009F5F9B" w:rsidP="00B92E5F">
      <w:pPr>
        <w:tabs>
          <w:tab w:val="left" w:pos="426"/>
        </w:tabs>
        <w:spacing w:line="240" w:lineRule="auto"/>
        <w:ind w:firstLine="567"/>
        <w:contextualSpacing/>
        <w:jc w:val="both"/>
        <w:rPr>
          <w:rFonts w:ascii="Times New Roman" w:hAnsi="Times New Roman" w:cs="Times New Roman"/>
          <w:color w:val="000000"/>
          <w:lang w:val="ro-RO" w:eastAsia="ro-RO"/>
        </w:rPr>
      </w:pPr>
      <w:r w:rsidRPr="009F5F9B">
        <w:rPr>
          <w:rFonts w:ascii="Times New Roman" w:hAnsi="Times New Roman" w:cs="Times New Roman"/>
          <w:color w:val="000000"/>
          <w:lang w:val="ro-RO" w:eastAsia="ro-RO"/>
        </w:rPr>
        <w:t xml:space="preserve">realizarea unui drum la standarde europene, cu asigurarea măsurilor de siguranță pentru participanții la trafic rutier. </w:t>
      </w:r>
    </w:p>
    <w:p w14:paraId="3475B7A1" w14:textId="77777777" w:rsidR="009F5F9B" w:rsidRPr="009F5F9B" w:rsidRDefault="009F5F9B" w:rsidP="00B92E5F">
      <w:pPr>
        <w:tabs>
          <w:tab w:val="left" w:pos="426"/>
        </w:tabs>
        <w:spacing w:line="240" w:lineRule="auto"/>
        <w:ind w:firstLine="567"/>
        <w:contextualSpacing/>
        <w:jc w:val="both"/>
        <w:rPr>
          <w:rFonts w:ascii="Times New Roman" w:hAnsi="Times New Roman" w:cs="Times New Roman"/>
          <w:color w:val="000000"/>
          <w:lang w:val="ro-RO" w:eastAsia="ro-RO"/>
        </w:rPr>
      </w:pPr>
      <w:r w:rsidRPr="009F5F9B">
        <w:rPr>
          <w:rFonts w:ascii="Times New Roman" w:hAnsi="Times New Roman" w:cs="Times New Roman"/>
          <w:color w:val="000000"/>
          <w:lang w:val="ro-RO" w:eastAsia="ro-RO"/>
        </w:rPr>
        <w:t>asigurarea capacității de circulație necesară și a condițiilor corespunzătoare de circulație aferente rețelei rutiere, cu efecte negative minime la nivelul mediului și ale ocupării de terenuri.</w:t>
      </w:r>
    </w:p>
    <w:p w14:paraId="23125D34" w14:textId="77777777" w:rsidR="009F5F9B" w:rsidRPr="009F5F9B" w:rsidRDefault="009F5F9B" w:rsidP="00B92E5F">
      <w:pPr>
        <w:tabs>
          <w:tab w:val="left" w:pos="426"/>
        </w:tabs>
        <w:spacing w:line="240" w:lineRule="auto"/>
        <w:ind w:firstLine="567"/>
        <w:contextualSpacing/>
        <w:jc w:val="both"/>
        <w:rPr>
          <w:rFonts w:ascii="Times New Roman" w:hAnsi="Times New Roman" w:cs="Times New Roman"/>
          <w:color w:val="000000"/>
          <w:lang w:val="ro-RO" w:eastAsia="ro-RO"/>
        </w:rPr>
      </w:pPr>
      <w:r w:rsidRPr="009F5F9B">
        <w:rPr>
          <w:rFonts w:ascii="Times New Roman" w:hAnsi="Times New Roman" w:cs="Times New Roman"/>
          <w:color w:val="000000"/>
          <w:lang w:val="ro-RO" w:eastAsia="ro-RO"/>
        </w:rPr>
        <w:t>îmbunătățirea condițiilor de circulație la nivel de rețea rutieră națională de transport inclusiv sub aspect de siguranță rutieră, reducerea emisiilor poluante, reducerea costurilor de operare, răspunzând astfel cerințelor de dezvoltare economică concretizată prin adaptarea rețelei rutiere naționale la cererea reală de transport.</w:t>
      </w:r>
    </w:p>
    <w:p w14:paraId="790C7F08" w14:textId="07A7B298" w:rsidR="009F5F9B" w:rsidRPr="009F5F9B" w:rsidRDefault="009F5F9B" w:rsidP="00B92E5F">
      <w:pPr>
        <w:tabs>
          <w:tab w:val="left" w:pos="426"/>
        </w:tabs>
        <w:spacing w:line="240" w:lineRule="auto"/>
        <w:ind w:firstLine="567"/>
        <w:contextualSpacing/>
        <w:jc w:val="both"/>
        <w:rPr>
          <w:rFonts w:ascii="Times New Roman" w:hAnsi="Times New Roman" w:cs="Times New Roman"/>
          <w:lang w:val="ro-RO"/>
        </w:rPr>
      </w:pPr>
      <w:r w:rsidRPr="009F5F9B">
        <w:rPr>
          <w:rFonts w:ascii="Times New Roman" w:hAnsi="Times New Roman" w:cs="Times New Roman"/>
          <w:b/>
          <w:bCs/>
          <w:iCs/>
          <w:lang w:val="ro-RO"/>
        </w:rPr>
        <w:tab/>
      </w:r>
      <w:r w:rsidRPr="009F5F9B">
        <w:rPr>
          <w:rFonts w:ascii="Times New Roman" w:hAnsi="Times New Roman" w:cs="Times New Roman"/>
          <w:lang w:val="ro-RO"/>
        </w:rPr>
        <w:t xml:space="preserve">Pentru realizarea investiției, Consiliul Județean </w:t>
      </w:r>
      <w:r w:rsidR="00A057DB">
        <w:rPr>
          <w:rFonts w:ascii="Times New Roman" w:hAnsi="Times New Roman" w:cs="Times New Roman"/>
          <w:lang w:val="ro-RO"/>
        </w:rPr>
        <w:t>Satu Mare</w:t>
      </w:r>
      <w:r w:rsidRPr="009F5F9B">
        <w:rPr>
          <w:rFonts w:ascii="Times New Roman" w:hAnsi="Times New Roman" w:cs="Times New Roman"/>
          <w:lang w:val="ro-RO"/>
        </w:rPr>
        <w:t xml:space="preserve"> a încheiat:</w:t>
      </w:r>
    </w:p>
    <w:p w14:paraId="6F7244F3" w14:textId="77777777" w:rsidR="009F5F9B" w:rsidRPr="009F5F9B" w:rsidRDefault="009F5F9B" w:rsidP="00B92E5F">
      <w:pPr>
        <w:tabs>
          <w:tab w:val="left" w:pos="426"/>
        </w:tabs>
        <w:spacing w:line="240" w:lineRule="auto"/>
        <w:ind w:firstLine="567"/>
        <w:contextualSpacing/>
        <w:jc w:val="both"/>
        <w:rPr>
          <w:rFonts w:ascii="Times New Roman" w:hAnsi="Times New Roman" w:cs="Times New Roman"/>
          <w:lang w:val="ro-RO"/>
        </w:rPr>
      </w:pPr>
      <w:r w:rsidRPr="009F5F9B">
        <w:rPr>
          <w:rFonts w:ascii="Times New Roman" w:hAnsi="Times New Roman" w:cs="Times New Roman"/>
          <w:lang w:val="ro-RO"/>
        </w:rPr>
        <w:t>- Acordul de Asociere privind aprobarea unor măsuri în vederea realizării obiectivului de investiții Drum expres Baia Mare – Satu Mare încheiat de Județul Maramureș – Consiliul Județean nr. 8975 din 10.05.2021 și Județul Satu Mare – Consiliul Județean nr. 8646 din 28.04.2021 și Actul adițional la Acordul de asociere nr. 5236/06.03.2023 (Județul Maramureș – Consiliul Județean) și nr. 5661/08.03.2023 (Județul Satu Mare – Consiliul Județean);</w:t>
      </w:r>
    </w:p>
    <w:p w14:paraId="0DCBFF9D" w14:textId="77777777" w:rsidR="009F5F9B" w:rsidRPr="009F5F9B" w:rsidRDefault="009F5F9B" w:rsidP="00B92E5F">
      <w:pPr>
        <w:widowControl w:val="0"/>
        <w:numPr>
          <w:ilvl w:val="0"/>
          <w:numId w:val="3"/>
        </w:numPr>
        <w:tabs>
          <w:tab w:val="left" w:pos="709"/>
          <w:tab w:val="left" w:pos="851"/>
        </w:tabs>
        <w:suppressAutoHyphens/>
        <w:spacing w:after="0" w:line="240" w:lineRule="auto"/>
        <w:ind w:left="0" w:firstLine="360"/>
        <w:jc w:val="both"/>
        <w:rPr>
          <w:rFonts w:ascii="Times New Roman" w:eastAsia="SimSun" w:hAnsi="Times New Roman" w:cs="Times New Roman"/>
          <w:kern w:val="2"/>
          <w:lang w:val="ro-RO" w:eastAsia="zh-CN"/>
        </w:rPr>
      </w:pPr>
      <w:r w:rsidRPr="009F5F9B">
        <w:rPr>
          <w:rFonts w:ascii="Times New Roman" w:hAnsi="Times New Roman" w:cs="Times New Roman"/>
          <w:lang w:val="ro-RO"/>
        </w:rPr>
        <w:t xml:space="preserve">Protocolul de colaborare încheiat între </w:t>
      </w:r>
      <w:r w:rsidRPr="009F5F9B">
        <w:rPr>
          <w:rFonts w:ascii="Times New Roman" w:eastAsia="SimSun" w:hAnsi="Times New Roman" w:cs="Times New Roman"/>
          <w:kern w:val="2"/>
          <w:lang w:val="ro-RO" w:eastAsia="zh-CN"/>
        </w:rPr>
        <w:t>Compania Națională de Administrare a Infrastructurii Rutiere S.A. nr. 62627 din 30.07.2021,  Județul Maramureș prin Consiliul Județean Maramureș nr. 15126/2021 și județul Satu Mare prin Consiliul Județean Satu Mare nr.  15408/2021 în scopul realizării obiectivului de investiții Drum Expres Baia Mare – Satu Mare;</w:t>
      </w:r>
    </w:p>
    <w:p w14:paraId="6619DBB6" w14:textId="77777777" w:rsidR="009F5F9B" w:rsidRPr="009F5F9B" w:rsidRDefault="009F5F9B" w:rsidP="00B92E5F">
      <w:pPr>
        <w:spacing w:line="240" w:lineRule="auto"/>
        <w:ind w:firstLine="567"/>
        <w:contextualSpacing/>
        <w:jc w:val="both"/>
        <w:rPr>
          <w:rFonts w:ascii="Times New Roman" w:hAnsi="Times New Roman" w:cs="Times New Roman"/>
          <w:lang w:val="ro-RO"/>
        </w:rPr>
      </w:pPr>
      <w:r w:rsidRPr="009F5F9B">
        <w:rPr>
          <w:rFonts w:ascii="Times New Roman" w:hAnsi="Times New Roman" w:cs="Times New Roman"/>
          <w:lang w:val="ro-RO"/>
        </w:rPr>
        <w:t xml:space="preserve"> Studiul de Fezabilitate a fost realizat </w:t>
      </w:r>
      <w:bookmarkStart w:id="3" w:name="_Hlk170211393"/>
      <w:r w:rsidRPr="009F5F9B">
        <w:rPr>
          <w:rFonts w:ascii="Times New Roman" w:hAnsi="Times New Roman" w:cs="Times New Roman"/>
          <w:lang w:val="ro-RO"/>
        </w:rPr>
        <w:t xml:space="preserve">de S.C. DRUM POD INVEST S.R.L. în cadrul Contractului de prestări servicii Completare/Revizuire Studiu de Fezabilitate (SF) pentru </w:t>
      </w:r>
      <w:r w:rsidRPr="009F5F9B">
        <w:rPr>
          <w:rFonts w:ascii="Times New Roman" w:hAnsi="Times New Roman" w:cs="Times New Roman"/>
          <w:bCs/>
          <w:iCs/>
          <w:lang w:val="ro-RO"/>
        </w:rPr>
        <w:t>DRUM EXPRES PETEA-SATU MARE-BAIA MARE, SECTOR SATU MARE-BAIA MARE</w:t>
      </w:r>
      <w:r w:rsidRPr="009F5F9B">
        <w:rPr>
          <w:rFonts w:ascii="Times New Roman" w:hAnsi="Times New Roman" w:cs="Times New Roman"/>
          <w:lang w:val="ro-RO"/>
        </w:rPr>
        <w:t xml:space="preserve"> nr. 15907 din data 08.07.2022, încheiat între Județul Maramureș prin Consiliul Județean Maramureș și Județul Satu Mare prin Consiliul Județean Satu Mare Traseul variantei a fost stabilit în baza unei analize multicriteriale și are kilometrul 0+000 pe DN19, iar punctul final al proiectului se află la kilometrul 59+177, la intersecția străzii Europa cu Bulevardul Independenței (DN1C), în sensul giratoriu amenajat în cadrul unui alt proiect, în municipiul Baia Mare, județul Maramureș.</w:t>
      </w:r>
    </w:p>
    <w:p w14:paraId="15D0425B" w14:textId="77777777" w:rsidR="009F5F9B" w:rsidRPr="009F5F9B" w:rsidRDefault="009F5F9B" w:rsidP="00B92E5F">
      <w:pPr>
        <w:spacing w:line="240" w:lineRule="auto"/>
        <w:ind w:firstLine="567"/>
        <w:contextualSpacing/>
        <w:jc w:val="both"/>
        <w:rPr>
          <w:rFonts w:ascii="Times New Roman" w:hAnsi="Times New Roman" w:cs="Times New Roman"/>
          <w:lang w:val="ro-RO"/>
        </w:rPr>
      </w:pPr>
      <w:r w:rsidRPr="009F5F9B">
        <w:rPr>
          <w:rFonts w:ascii="Times New Roman" w:hAnsi="Times New Roman" w:cs="Times New Roman"/>
          <w:lang w:val="ro-RO"/>
        </w:rPr>
        <w:t>În cadrul Studiului de Fezabilitate s-au analizat 2 variante de realizare a drumul expres :</w:t>
      </w:r>
    </w:p>
    <w:p w14:paraId="718E624A" w14:textId="77777777" w:rsidR="009F5F9B" w:rsidRPr="009F5F9B" w:rsidRDefault="009F5F9B" w:rsidP="00B92E5F">
      <w:pPr>
        <w:spacing w:line="240" w:lineRule="auto"/>
        <w:ind w:firstLine="567"/>
        <w:contextualSpacing/>
        <w:jc w:val="both"/>
        <w:rPr>
          <w:rFonts w:ascii="Times New Roman" w:hAnsi="Times New Roman" w:cs="Times New Roman"/>
          <w:lang w:val="ro-RO"/>
        </w:rPr>
      </w:pPr>
      <w:r w:rsidRPr="009F5F9B">
        <w:rPr>
          <w:rFonts w:ascii="Times New Roman" w:hAnsi="Times New Roman" w:cs="Times New Roman"/>
          <w:b/>
          <w:bCs/>
          <w:lang w:val="ro-RO"/>
        </w:rPr>
        <w:t>Varianta 1</w:t>
      </w:r>
      <w:r w:rsidRPr="009F5F9B">
        <w:rPr>
          <w:rFonts w:ascii="Times New Roman" w:hAnsi="Times New Roman" w:cs="Times New Roman"/>
          <w:lang w:val="ro-RO"/>
        </w:rPr>
        <w:t xml:space="preserve"> – Structura rutieră semirigidă, având valoarea totală a devizului general varianta 1: </w:t>
      </w:r>
    </w:p>
    <w:p w14:paraId="7E5DAACA" w14:textId="77777777" w:rsidR="009F5F9B" w:rsidRPr="009F5F9B" w:rsidRDefault="009F5F9B" w:rsidP="00B92E5F">
      <w:pPr>
        <w:spacing w:line="240" w:lineRule="auto"/>
        <w:ind w:firstLine="567"/>
        <w:contextualSpacing/>
        <w:jc w:val="both"/>
        <w:rPr>
          <w:rFonts w:ascii="Times New Roman" w:hAnsi="Times New Roman" w:cs="Times New Roman"/>
          <w:bCs/>
          <w:iCs/>
          <w:lang w:val="ro-RO"/>
        </w:rPr>
      </w:pPr>
      <w:r w:rsidRPr="009F5F9B">
        <w:rPr>
          <w:rFonts w:ascii="Times New Roman" w:hAnsi="Times New Roman" w:cs="Times New Roman"/>
          <w:bCs/>
          <w:iCs/>
          <w:lang w:val="ro-RO"/>
        </w:rPr>
        <w:t>5.931.597.615,73 lei cu TVA si 4.919.268.552,39 lei fara TVA din care C+M este 4.209.775.273,18 lei cu TVA si 3.479.153.118,33 lei fara TVA.</w:t>
      </w:r>
    </w:p>
    <w:p w14:paraId="6A6DF59A" w14:textId="77777777" w:rsidR="009F5F9B" w:rsidRPr="009F5F9B" w:rsidRDefault="009F5F9B" w:rsidP="00B92E5F">
      <w:pPr>
        <w:spacing w:line="240" w:lineRule="auto"/>
        <w:ind w:firstLine="567"/>
        <w:contextualSpacing/>
        <w:jc w:val="both"/>
        <w:rPr>
          <w:rFonts w:ascii="Times New Roman" w:hAnsi="Times New Roman" w:cs="Times New Roman"/>
          <w:bCs/>
          <w:lang w:val="ro-RO"/>
        </w:rPr>
      </w:pPr>
      <w:r w:rsidRPr="009F5F9B">
        <w:rPr>
          <w:rFonts w:ascii="Times New Roman" w:hAnsi="Times New Roman" w:cs="Times New Roman"/>
          <w:b/>
          <w:bCs/>
          <w:lang w:val="ro-RO"/>
        </w:rPr>
        <w:t>Varianta 2</w:t>
      </w:r>
      <w:r w:rsidRPr="009F5F9B">
        <w:rPr>
          <w:rFonts w:ascii="Times New Roman" w:hAnsi="Times New Roman" w:cs="Times New Roman"/>
          <w:bCs/>
          <w:lang w:val="ro-RO"/>
        </w:rPr>
        <w:t xml:space="preserve"> – Structura rutieră rigidă, având valoarea totală a devizului general pentru varianta 2:</w:t>
      </w:r>
    </w:p>
    <w:p w14:paraId="1773F648" w14:textId="77777777" w:rsidR="009F5F9B" w:rsidRPr="009F5F9B" w:rsidRDefault="009F5F9B" w:rsidP="00B92E5F">
      <w:pPr>
        <w:spacing w:line="240" w:lineRule="auto"/>
        <w:ind w:firstLine="567"/>
        <w:contextualSpacing/>
        <w:jc w:val="both"/>
        <w:rPr>
          <w:rFonts w:ascii="Times New Roman" w:hAnsi="Times New Roman" w:cs="Times New Roman"/>
          <w:bCs/>
          <w:iCs/>
          <w:lang w:val="ro-RO"/>
        </w:rPr>
      </w:pPr>
      <w:r w:rsidRPr="009F5F9B">
        <w:rPr>
          <w:rFonts w:ascii="Times New Roman" w:hAnsi="Times New Roman" w:cs="Times New Roman"/>
          <w:bCs/>
          <w:iCs/>
          <w:lang w:val="ro-RO"/>
        </w:rPr>
        <w:t>5.945.830.043,87 lei cu TVA si 4.931.047.355,68 lei fara TVA din care C+M este 4.220.211.579,38 lei cu TVA si 3.487.778.164,77 lei fara TVA.</w:t>
      </w:r>
    </w:p>
    <w:p w14:paraId="7F9DCAC1" w14:textId="77777777" w:rsidR="009F5F9B" w:rsidRPr="009F5F9B" w:rsidRDefault="009F5F9B" w:rsidP="00B92E5F">
      <w:pPr>
        <w:spacing w:line="240" w:lineRule="auto"/>
        <w:ind w:firstLine="567"/>
        <w:contextualSpacing/>
        <w:jc w:val="both"/>
        <w:rPr>
          <w:rFonts w:ascii="Times New Roman" w:hAnsi="Times New Roman" w:cs="Times New Roman"/>
          <w:bCs/>
          <w:lang w:val="ro-RO"/>
        </w:rPr>
      </w:pPr>
      <w:r w:rsidRPr="009F5F9B">
        <w:rPr>
          <w:rFonts w:ascii="Times New Roman" w:hAnsi="Times New Roman" w:cs="Times New Roman"/>
          <w:bCs/>
          <w:lang w:val="ro-RO"/>
        </w:rPr>
        <w:t>Proiectantul recomandă promovarea obiectivului de investitie, cu soluțiile din Varianta 1 – Sistem rutier semirigid și dotările aferente Drumului expres.</w:t>
      </w:r>
    </w:p>
    <w:bookmarkEnd w:id="3"/>
    <w:p w14:paraId="637841CD" w14:textId="77777777" w:rsidR="009F5F9B" w:rsidRPr="009F5F9B" w:rsidRDefault="009F5F9B" w:rsidP="00B92E5F">
      <w:pPr>
        <w:spacing w:line="240" w:lineRule="auto"/>
        <w:ind w:firstLine="567"/>
        <w:jc w:val="both"/>
        <w:rPr>
          <w:rFonts w:ascii="Times New Roman" w:hAnsi="Times New Roman" w:cs="Times New Roman"/>
          <w:lang w:val="ro-RO"/>
        </w:rPr>
      </w:pPr>
      <w:r w:rsidRPr="009F5F9B">
        <w:rPr>
          <w:rFonts w:ascii="Times New Roman" w:hAnsi="Times New Roman" w:cs="Times New Roman"/>
          <w:lang w:val="ro-RO"/>
        </w:rPr>
        <w:t xml:space="preserve">Solutia tehnica consta în proiectarea unui drum (drum expres) cu 2 benzi pe sens de la km 0+000,00 pana la km 59+177,00 cu 7 noduri rutiere si dotarile aferente, </w:t>
      </w:r>
      <w:r w:rsidRPr="009F5F9B">
        <w:rPr>
          <w:rFonts w:ascii="Times New Roman" w:hAnsi="Times New Roman" w:cs="Times New Roman"/>
          <w:bCs/>
          <w:iCs/>
          <w:lang w:val="ro-RO"/>
        </w:rPr>
        <w:t>35 pasaje și 18 poduri</w:t>
      </w:r>
      <w:r w:rsidRPr="009F5F9B">
        <w:rPr>
          <w:rFonts w:ascii="Times New Roman" w:hAnsi="Times New Roman" w:cs="Times New Roman"/>
          <w:lang w:val="ro-RO"/>
        </w:rPr>
        <w:t>. Viteza de proiectare a nodurilor rutiere este de 40-80 km/h.</w:t>
      </w:r>
    </w:p>
    <w:p w14:paraId="76B0B951" w14:textId="77777777" w:rsidR="009F5F9B" w:rsidRPr="009F5F9B" w:rsidRDefault="009F5F9B" w:rsidP="00B92E5F">
      <w:pPr>
        <w:spacing w:line="240" w:lineRule="auto"/>
        <w:ind w:firstLine="567"/>
        <w:jc w:val="both"/>
        <w:rPr>
          <w:rFonts w:ascii="Times New Roman" w:hAnsi="Times New Roman" w:cs="Times New Roman"/>
          <w:bCs/>
          <w:iCs/>
          <w:lang w:val="ro-RO"/>
        </w:rPr>
      </w:pPr>
      <w:r w:rsidRPr="009F5F9B">
        <w:rPr>
          <w:rFonts w:ascii="Times New Roman" w:hAnsi="Times New Roman" w:cs="Times New Roman"/>
          <w:bCs/>
          <w:iCs/>
          <w:lang w:val="ro-RO"/>
        </w:rPr>
        <w:t xml:space="preserve">La km 0+000 se va realiza un nod rutier, asigurând conectivitatea cu DN19(E81) și Varianta de ocolire Satu Mare (DN19H). </w:t>
      </w:r>
    </w:p>
    <w:p w14:paraId="74C25734" w14:textId="77777777" w:rsidR="009F5F9B" w:rsidRPr="009F5F9B" w:rsidRDefault="009F5F9B" w:rsidP="00B92E5F">
      <w:pPr>
        <w:spacing w:line="240" w:lineRule="auto"/>
        <w:ind w:firstLine="567"/>
        <w:jc w:val="both"/>
        <w:rPr>
          <w:rFonts w:ascii="Times New Roman" w:hAnsi="Times New Roman" w:cs="Times New Roman"/>
          <w:bCs/>
          <w:iCs/>
          <w:lang w:val="ro-RO"/>
        </w:rPr>
      </w:pPr>
      <w:r w:rsidRPr="009F5F9B">
        <w:rPr>
          <w:rFonts w:ascii="Times New Roman" w:hAnsi="Times New Roman" w:cs="Times New Roman"/>
          <w:bCs/>
          <w:iCs/>
          <w:lang w:val="ro-RO"/>
        </w:rPr>
        <w:t>La km 10+000, se propune un nod rutier care sa asigure conexiunea cu DN1C  si mai departe catre vama Halmeu printr-un drum de legătură in lungime de circa 7,00km si cu DN19F localitatea Odoreu prin amenajarea unui drum de legătura in lungime de 4,85 km.</w:t>
      </w:r>
    </w:p>
    <w:p w14:paraId="5E984C9E" w14:textId="77777777" w:rsidR="009F5F9B" w:rsidRPr="009F5F9B" w:rsidRDefault="009F5F9B" w:rsidP="00B92E5F">
      <w:pPr>
        <w:spacing w:line="240" w:lineRule="auto"/>
        <w:ind w:firstLine="567"/>
        <w:jc w:val="both"/>
        <w:rPr>
          <w:rFonts w:ascii="Times New Roman" w:hAnsi="Times New Roman" w:cs="Times New Roman"/>
          <w:bCs/>
          <w:iCs/>
          <w:lang w:val="ro-RO"/>
        </w:rPr>
      </w:pPr>
      <w:r w:rsidRPr="009F5F9B">
        <w:rPr>
          <w:rFonts w:ascii="Times New Roman" w:hAnsi="Times New Roman" w:cs="Times New Roman"/>
          <w:bCs/>
          <w:iCs/>
          <w:lang w:val="ro-RO"/>
        </w:rPr>
        <w:t>În zona localității Apa km 25+350, se propune un nod rutier care va conecta DJ 109I cu drumul expres, pentru a atrage traficul din Orașu Nou-Vii și Viile Apei printr-un drum de legătură in lungime de circa 4,8km. Totodată asigură și conectarea DN1C cu DN19F printr-o giratie la intersecția cu DN19F.</w:t>
      </w:r>
    </w:p>
    <w:p w14:paraId="13C02470" w14:textId="77777777" w:rsidR="009F5F9B" w:rsidRPr="009F5F9B" w:rsidRDefault="009F5F9B" w:rsidP="00BA3BCD">
      <w:pPr>
        <w:spacing w:after="0" w:line="240" w:lineRule="auto"/>
        <w:ind w:firstLine="567"/>
        <w:jc w:val="both"/>
        <w:rPr>
          <w:rFonts w:ascii="Times New Roman" w:hAnsi="Times New Roman" w:cs="Times New Roman"/>
          <w:bCs/>
          <w:iCs/>
          <w:lang w:val="ro-RO"/>
        </w:rPr>
      </w:pPr>
      <w:r w:rsidRPr="009F5F9B">
        <w:rPr>
          <w:rFonts w:ascii="Times New Roman" w:hAnsi="Times New Roman" w:cs="Times New Roman"/>
          <w:bCs/>
          <w:iCs/>
          <w:lang w:val="ro-RO"/>
        </w:rPr>
        <w:lastRenderedPageBreak/>
        <w:t xml:space="preserve">In zona localității Seini km 29+560, se propune un nod rutier si un drum de legatura in lungime de 1,15km. </w:t>
      </w:r>
    </w:p>
    <w:p w14:paraId="4D42AAC3" w14:textId="77777777" w:rsidR="009F5F9B" w:rsidRPr="009F5F9B" w:rsidRDefault="009F5F9B" w:rsidP="00BA3BCD">
      <w:pPr>
        <w:spacing w:after="0" w:line="240" w:lineRule="auto"/>
        <w:ind w:firstLine="567"/>
        <w:jc w:val="both"/>
        <w:rPr>
          <w:rFonts w:ascii="Times New Roman" w:hAnsi="Times New Roman" w:cs="Times New Roman"/>
          <w:bCs/>
          <w:iCs/>
          <w:lang w:val="ro-RO"/>
        </w:rPr>
      </w:pPr>
      <w:r w:rsidRPr="009F5F9B">
        <w:rPr>
          <w:rFonts w:ascii="Times New Roman" w:hAnsi="Times New Roman" w:cs="Times New Roman"/>
          <w:bCs/>
          <w:iCs/>
          <w:lang w:val="ro-RO"/>
        </w:rPr>
        <w:t>La km 32+500 si km 46+100 traseul drumului expres intersectează elevat prin intermediul a doua poduri aria protejată ROSCI0436 Someșul Inferior.</w:t>
      </w:r>
    </w:p>
    <w:p w14:paraId="119DDF06" w14:textId="77777777" w:rsidR="009F5F9B" w:rsidRPr="009F5F9B" w:rsidRDefault="009F5F9B" w:rsidP="00BA3BCD">
      <w:pPr>
        <w:spacing w:after="0" w:line="240" w:lineRule="auto"/>
        <w:ind w:firstLine="567"/>
        <w:jc w:val="both"/>
        <w:rPr>
          <w:rFonts w:ascii="Times New Roman" w:hAnsi="Times New Roman" w:cs="Times New Roman"/>
          <w:bCs/>
          <w:iCs/>
          <w:lang w:val="ro-RO"/>
        </w:rPr>
      </w:pPr>
      <w:r w:rsidRPr="009F5F9B">
        <w:rPr>
          <w:rFonts w:ascii="Times New Roman" w:hAnsi="Times New Roman" w:cs="Times New Roman"/>
          <w:bCs/>
          <w:iCs/>
          <w:lang w:val="ro-RO"/>
        </w:rPr>
        <w:t>În zona localității Pomi km 35+575, se propune un nod rutier cu DJ193.</w:t>
      </w:r>
    </w:p>
    <w:p w14:paraId="70819708" w14:textId="77777777" w:rsidR="009F5F9B" w:rsidRPr="009F5F9B" w:rsidRDefault="009F5F9B" w:rsidP="00BA3BCD">
      <w:pPr>
        <w:spacing w:after="0" w:line="240" w:lineRule="auto"/>
        <w:ind w:firstLine="567"/>
        <w:jc w:val="both"/>
        <w:rPr>
          <w:rFonts w:ascii="Times New Roman" w:hAnsi="Times New Roman" w:cs="Times New Roman"/>
          <w:bCs/>
          <w:iCs/>
          <w:lang w:val="ro-RO"/>
        </w:rPr>
      </w:pPr>
      <w:r w:rsidRPr="009F5F9B">
        <w:rPr>
          <w:rFonts w:ascii="Times New Roman" w:hAnsi="Times New Roman" w:cs="Times New Roman"/>
          <w:bCs/>
          <w:iCs/>
          <w:lang w:val="ro-RO"/>
        </w:rPr>
        <w:t>În zona localității Ardusat km 44+925, se propune un nod rutier cu DJ193 și un drum de legătură în lungime de circa 0.64 km.</w:t>
      </w:r>
    </w:p>
    <w:p w14:paraId="368C1467" w14:textId="77777777" w:rsidR="009F5F9B" w:rsidRPr="009F5F9B" w:rsidRDefault="009F5F9B" w:rsidP="00BA3BCD">
      <w:pPr>
        <w:spacing w:after="0" w:line="240" w:lineRule="auto"/>
        <w:ind w:firstLine="567"/>
        <w:jc w:val="both"/>
        <w:rPr>
          <w:rFonts w:ascii="Times New Roman" w:hAnsi="Times New Roman" w:cs="Times New Roman"/>
          <w:bCs/>
          <w:iCs/>
          <w:lang w:val="ro-RO"/>
        </w:rPr>
      </w:pPr>
      <w:r w:rsidRPr="009F5F9B">
        <w:rPr>
          <w:rFonts w:ascii="Times New Roman" w:hAnsi="Times New Roman" w:cs="Times New Roman"/>
          <w:bCs/>
          <w:iCs/>
          <w:lang w:val="ro-RO"/>
        </w:rPr>
        <w:t>La km 48+800, drumul expres se intersectează cu Nodul Rutier Lăpușel, ce va conecta Drumul Expres 4B cu Drumul Expres 4 si Varianta de Ocolire Baia Mare.Acest nod rutier este compus din doua intersectii denivelate si un sector de impletire a fluxurilor de trafic. Prima intersectie este amplasata la km 48+800, sectorul de impletire a fluxurilor de trafic este cuprins intre km 50+100 si 51+200 al drumului expres 4b iar cea de a doua intersectie denivelata este amplasata la km 51+674, intersectie cu Varianta de Ocolire Baia Mare.</w:t>
      </w:r>
    </w:p>
    <w:p w14:paraId="36F78F0E" w14:textId="77777777" w:rsidR="009F5F9B" w:rsidRPr="009F5F9B" w:rsidRDefault="009F5F9B" w:rsidP="00BA3BCD">
      <w:pPr>
        <w:spacing w:after="0" w:line="240" w:lineRule="auto"/>
        <w:ind w:firstLine="567"/>
        <w:jc w:val="both"/>
        <w:rPr>
          <w:rFonts w:ascii="Times New Roman" w:hAnsi="Times New Roman" w:cs="Times New Roman"/>
          <w:bCs/>
          <w:iCs/>
          <w:lang w:val="ro-RO"/>
        </w:rPr>
      </w:pPr>
      <w:r w:rsidRPr="009F5F9B">
        <w:rPr>
          <w:rFonts w:ascii="Times New Roman" w:hAnsi="Times New Roman" w:cs="Times New Roman"/>
          <w:bCs/>
          <w:iCs/>
          <w:lang w:val="ro-RO"/>
        </w:rPr>
        <w:t>Punctul final al drumului expres este propus la km 59+177, la intersecția străzii Europa cu Bulevardul Independenței (DN1C), în sensul giratoriu amenajat în cadrul unui alt proiect, în municipiul Baia Mare, județul Maramureș.</w:t>
      </w:r>
    </w:p>
    <w:p w14:paraId="5237EB8B" w14:textId="77777777" w:rsidR="009F5F9B" w:rsidRPr="009F5F9B" w:rsidRDefault="009F5F9B" w:rsidP="00BA3BCD">
      <w:pPr>
        <w:spacing w:after="0" w:line="240" w:lineRule="auto"/>
        <w:ind w:firstLine="567"/>
        <w:jc w:val="both"/>
        <w:rPr>
          <w:rFonts w:ascii="Times New Roman" w:hAnsi="Times New Roman" w:cs="Times New Roman"/>
          <w:bCs/>
          <w:iCs/>
          <w:lang w:val="ro-RO"/>
        </w:rPr>
      </w:pPr>
      <w:r w:rsidRPr="009F5F9B">
        <w:rPr>
          <w:rFonts w:ascii="Times New Roman" w:hAnsi="Times New Roman" w:cs="Times New Roman"/>
          <w:bCs/>
          <w:iCs/>
          <w:lang w:val="ro-RO"/>
        </w:rPr>
        <w:t>Drumul expres a fost prevăzut cu 2 perechi de parcări de scurta durata, 1 Centru de Intretinere si Coordonare si 1 Spatiu de seviciu tip S1.</w:t>
      </w:r>
    </w:p>
    <w:p w14:paraId="46541D12" w14:textId="77777777" w:rsidR="009F5F9B" w:rsidRPr="009F5F9B" w:rsidRDefault="009F5F9B" w:rsidP="00B92E5F">
      <w:pPr>
        <w:pStyle w:val="NoSpacing"/>
        <w:rPr>
          <w:bCs/>
          <w:iCs/>
          <w:sz w:val="22"/>
          <w:szCs w:val="22"/>
          <w:lang w:val="ro-RO"/>
        </w:rPr>
      </w:pPr>
      <w:r w:rsidRPr="009F5F9B">
        <w:rPr>
          <w:b/>
          <w:bCs/>
          <w:iCs/>
          <w:sz w:val="22"/>
          <w:szCs w:val="22"/>
          <w:lang w:val="ro-RO"/>
        </w:rPr>
        <w:t>Podete</w:t>
      </w:r>
      <w:r w:rsidRPr="009F5F9B">
        <w:rPr>
          <w:bCs/>
          <w:iCs/>
          <w:sz w:val="22"/>
          <w:szCs w:val="22"/>
          <w:lang w:val="ro-RO"/>
        </w:rPr>
        <w:t>:</w:t>
      </w:r>
    </w:p>
    <w:p w14:paraId="23EC12C2" w14:textId="77777777" w:rsidR="009F5F9B" w:rsidRPr="009F5F9B" w:rsidRDefault="009F5F9B" w:rsidP="00B92E5F">
      <w:pPr>
        <w:pStyle w:val="NoSpacing"/>
        <w:numPr>
          <w:ilvl w:val="0"/>
          <w:numId w:val="4"/>
        </w:numPr>
        <w:rPr>
          <w:bCs/>
          <w:iCs/>
          <w:sz w:val="22"/>
          <w:szCs w:val="22"/>
          <w:lang w:val="ro-RO"/>
        </w:rPr>
      </w:pPr>
      <w:r w:rsidRPr="009F5F9B">
        <w:rPr>
          <w:bCs/>
          <w:iCs/>
          <w:sz w:val="22"/>
          <w:szCs w:val="22"/>
          <w:lang w:val="ro-RO"/>
        </w:rPr>
        <w:t>106 bucati de podete dalate prevazute pe drumul expres</w:t>
      </w:r>
    </w:p>
    <w:p w14:paraId="32986070" w14:textId="77777777" w:rsidR="009F5F9B" w:rsidRPr="009F5F9B" w:rsidRDefault="009F5F9B" w:rsidP="00B92E5F">
      <w:pPr>
        <w:pStyle w:val="NoSpacing"/>
        <w:numPr>
          <w:ilvl w:val="0"/>
          <w:numId w:val="4"/>
        </w:numPr>
        <w:rPr>
          <w:bCs/>
          <w:iCs/>
          <w:sz w:val="22"/>
          <w:szCs w:val="22"/>
          <w:lang w:val="ro-RO"/>
        </w:rPr>
      </w:pPr>
      <w:r w:rsidRPr="009F5F9B">
        <w:rPr>
          <w:bCs/>
          <w:iCs/>
          <w:sz w:val="22"/>
          <w:szCs w:val="22"/>
          <w:lang w:val="ro-RO"/>
        </w:rPr>
        <w:t>62 bucati de podete prevazute pe nodurile rutiere</w:t>
      </w:r>
    </w:p>
    <w:p w14:paraId="1AB878DD" w14:textId="77777777" w:rsidR="009F5F9B" w:rsidRPr="009F5F9B" w:rsidRDefault="009F5F9B" w:rsidP="00B92E5F">
      <w:pPr>
        <w:pStyle w:val="NoSpacing"/>
        <w:numPr>
          <w:ilvl w:val="0"/>
          <w:numId w:val="4"/>
        </w:numPr>
        <w:rPr>
          <w:bCs/>
          <w:iCs/>
          <w:sz w:val="22"/>
          <w:szCs w:val="22"/>
          <w:lang w:val="ro-RO"/>
        </w:rPr>
      </w:pPr>
      <w:r w:rsidRPr="009F5F9B">
        <w:rPr>
          <w:bCs/>
          <w:iCs/>
          <w:sz w:val="22"/>
          <w:szCs w:val="22"/>
          <w:lang w:val="ro-RO"/>
        </w:rPr>
        <w:t>33 bucati de podete prevazute la drumurile de legatura si relocarile de drumuri locale</w:t>
      </w:r>
    </w:p>
    <w:p w14:paraId="32017766" w14:textId="77777777" w:rsidR="009F5F9B" w:rsidRPr="009F5F9B" w:rsidRDefault="009F5F9B" w:rsidP="00B92E5F">
      <w:pPr>
        <w:pStyle w:val="NoSpacing"/>
        <w:rPr>
          <w:b/>
          <w:bCs/>
          <w:iCs/>
          <w:sz w:val="22"/>
          <w:szCs w:val="22"/>
          <w:lang w:val="ro-RO"/>
        </w:rPr>
      </w:pPr>
      <w:r w:rsidRPr="009F5F9B">
        <w:rPr>
          <w:b/>
          <w:bCs/>
          <w:iCs/>
          <w:sz w:val="22"/>
          <w:szCs w:val="22"/>
          <w:lang w:val="ro-RO"/>
        </w:rPr>
        <w:t>Lucrări de artă:</w:t>
      </w:r>
    </w:p>
    <w:p w14:paraId="7D4E57F9" w14:textId="77777777" w:rsidR="009F5F9B" w:rsidRPr="009F5F9B" w:rsidRDefault="009F5F9B" w:rsidP="00B92E5F">
      <w:pPr>
        <w:pStyle w:val="NoSpacing"/>
        <w:numPr>
          <w:ilvl w:val="0"/>
          <w:numId w:val="4"/>
        </w:numPr>
        <w:rPr>
          <w:bCs/>
          <w:iCs/>
          <w:sz w:val="22"/>
          <w:szCs w:val="22"/>
          <w:lang w:val="ro-RO"/>
        </w:rPr>
      </w:pPr>
      <w:r w:rsidRPr="009F5F9B">
        <w:rPr>
          <w:bCs/>
          <w:iCs/>
          <w:sz w:val="22"/>
          <w:szCs w:val="22"/>
          <w:lang w:val="ro-RO"/>
        </w:rPr>
        <w:t>35 pasaje peste drumul expres</w:t>
      </w:r>
    </w:p>
    <w:p w14:paraId="4191D615" w14:textId="77777777" w:rsidR="009F5F9B" w:rsidRPr="009F5F9B" w:rsidRDefault="009F5F9B" w:rsidP="00B92E5F">
      <w:pPr>
        <w:pStyle w:val="NoSpacing"/>
        <w:numPr>
          <w:ilvl w:val="0"/>
          <w:numId w:val="4"/>
        </w:numPr>
        <w:rPr>
          <w:bCs/>
          <w:iCs/>
          <w:sz w:val="22"/>
          <w:szCs w:val="22"/>
          <w:lang w:val="ro-RO"/>
        </w:rPr>
      </w:pPr>
      <w:r w:rsidRPr="009F5F9B">
        <w:rPr>
          <w:bCs/>
          <w:iCs/>
          <w:sz w:val="22"/>
          <w:szCs w:val="22"/>
          <w:lang w:val="ro-RO"/>
        </w:rPr>
        <w:t>18 poduri peste drumul expres</w:t>
      </w:r>
    </w:p>
    <w:p w14:paraId="1D4518ED" w14:textId="77777777" w:rsidR="009F5F9B" w:rsidRPr="009F5F9B" w:rsidRDefault="009F5F9B" w:rsidP="00B92E5F">
      <w:pPr>
        <w:spacing w:line="240" w:lineRule="auto"/>
        <w:ind w:firstLine="567"/>
        <w:jc w:val="both"/>
        <w:rPr>
          <w:rFonts w:ascii="Times New Roman" w:hAnsi="Times New Roman" w:cs="Times New Roman"/>
          <w:b/>
          <w:lang w:val="ro-RO"/>
        </w:rPr>
      </w:pPr>
      <w:r w:rsidRPr="009F5F9B">
        <w:rPr>
          <w:rFonts w:ascii="Times New Roman" w:hAnsi="Times New Roman" w:cs="Times New Roman"/>
          <w:b/>
          <w:lang w:val="ro-RO"/>
        </w:rPr>
        <w:t>Viteza de proiectare:</w:t>
      </w:r>
    </w:p>
    <w:p w14:paraId="7EDA0D64" w14:textId="77777777" w:rsidR="009F5F9B" w:rsidRPr="009F5F9B" w:rsidRDefault="009F5F9B" w:rsidP="00B92E5F">
      <w:pPr>
        <w:spacing w:line="240" w:lineRule="auto"/>
        <w:ind w:firstLine="567"/>
        <w:jc w:val="both"/>
        <w:rPr>
          <w:rFonts w:ascii="Times New Roman" w:hAnsi="Times New Roman" w:cs="Times New Roman"/>
          <w:b/>
          <w:lang w:val="ro-RO"/>
        </w:rPr>
      </w:pPr>
      <w:r w:rsidRPr="009F5F9B">
        <w:rPr>
          <w:rFonts w:ascii="Times New Roman" w:hAnsi="Times New Roman" w:cs="Times New Roman"/>
          <w:b/>
          <w:lang w:val="ro-RO"/>
        </w:rPr>
        <w:t>-</w:t>
      </w:r>
      <w:r w:rsidRPr="009F5F9B">
        <w:rPr>
          <w:rFonts w:ascii="Times New Roman" w:hAnsi="Times New Roman" w:cs="Times New Roman"/>
          <w:b/>
          <w:lang w:val="ro-RO"/>
        </w:rPr>
        <w:tab/>
        <w:t>de la km 0+000 până la km 50+100–120 km/h</w:t>
      </w:r>
    </w:p>
    <w:p w14:paraId="0E40B89B" w14:textId="77777777" w:rsidR="009F5F9B" w:rsidRPr="009F5F9B" w:rsidRDefault="009F5F9B" w:rsidP="00B92E5F">
      <w:pPr>
        <w:spacing w:line="240" w:lineRule="auto"/>
        <w:ind w:firstLine="567"/>
        <w:jc w:val="both"/>
        <w:rPr>
          <w:rFonts w:ascii="Times New Roman" w:hAnsi="Times New Roman" w:cs="Times New Roman"/>
          <w:b/>
          <w:lang w:val="ro-RO"/>
        </w:rPr>
      </w:pPr>
      <w:r w:rsidRPr="009F5F9B">
        <w:rPr>
          <w:rFonts w:ascii="Times New Roman" w:hAnsi="Times New Roman" w:cs="Times New Roman"/>
          <w:b/>
          <w:lang w:val="ro-RO"/>
        </w:rPr>
        <w:t>-</w:t>
      </w:r>
      <w:r w:rsidRPr="009F5F9B">
        <w:rPr>
          <w:rFonts w:ascii="Times New Roman" w:hAnsi="Times New Roman" w:cs="Times New Roman"/>
          <w:b/>
          <w:lang w:val="ro-RO"/>
        </w:rPr>
        <w:tab/>
        <w:t>de la km 50+100 până la km 59+177-100 km/h</w:t>
      </w:r>
    </w:p>
    <w:p w14:paraId="0E67722D" w14:textId="77777777" w:rsidR="009F5F9B" w:rsidRPr="009F5F9B" w:rsidRDefault="009F5F9B" w:rsidP="00B92E5F">
      <w:pPr>
        <w:spacing w:line="240" w:lineRule="auto"/>
        <w:ind w:firstLine="567"/>
        <w:contextualSpacing/>
        <w:jc w:val="both"/>
        <w:rPr>
          <w:rFonts w:ascii="Times New Roman" w:hAnsi="Times New Roman" w:cs="Times New Roman"/>
          <w:lang w:val="ro-RO"/>
        </w:rPr>
      </w:pPr>
      <w:r w:rsidRPr="009F5F9B">
        <w:rPr>
          <w:rFonts w:ascii="Times New Roman" w:hAnsi="Times New Roman" w:cs="Times New Roman"/>
          <w:lang w:val="ro-RO"/>
        </w:rPr>
        <w:t xml:space="preserve">Documentația elaborată de Prestator la faza Studiu de Fezabilitate pentru obiectivul de investiți </w:t>
      </w:r>
      <w:r w:rsidRPr="009F5F9B">
        <w:rPr>
          <w:rFonts w:ascii="Times New Roman" w:hAnsi="Times New Roman" w:cs="Times New Roman"/>
          <w:bCs/>
          <w:iCs/>
          <w:lang w:val="ro-RO"/>
        </w:rPr>
        <w:t>DRUM EXPRES PETEA-SATU MARE-BAIA MARE, SECTOR SATU MARE-BAIA MARE</w:t>
      </w:r>
      <w:r w:rsidRPr="009F5F9B">
        <w:rPr>
          <w:rFonts w:ascii="Times New Roman" w:hAnsi="Times New Roman" w:cs="Times New Roman"/>
          <w:lang w:val="ro-RO"/>
        </w:rPr>
        <w:t xml:space="preserve"> a fost supusă avizării în cadrul CTE – C.N.A.I.R. în cadrul căreia s-a solicitat aprobarea documentației. </w:t>
      </w:r>
    </w:p>
    <w:p w14:paraId="3193DF92" w14:textId="77777777" w:rsidR="009F5F9B" w:rsidRPr="009F5F9B" w:rsidRDefault="009F5F9B" w:rsidP="00B92E5F">
      <w:pPr>
        <w:spacing w:line="240" w:lineRule="auto"/>
        <w:ind w:firstLine="567"/>
        <w:contextualSpacing/>
        <w:jc w:val="both"/>
        <w:rPr>
          <w:rFonts w:ascii="Times New Roman" w:hAnsi="Times New Roman" w:cs="Times New Roman"/>
          <w:iCs/>
          <w:lang w:val="ro-RO"/>
        </w:rPr>
      </w:pPr>
      <w:r w:rsidRPr="009F5F9B">
        <w:rPr>
          <w:rFonts w:ascii="Times New Roman" w:hAnsi="Times New Roman" w:cs="Times New Roman"/>
          <w:iCs/>
          <w:lang w:val="ro-RO"/>
        </w:rPr>
        <w:t xml:space="preserve">Potrivit prevederilor H.G. nr. 907/2016 privind </w:t>
      </w:r>
      <w:r w:rsidRPr="009F5F9B">
        <w:rPr>
          <w:rFonts w:ascii="Times New Roman" w:hAnsi="Times New Roman" w:cs="Times New Roman"/>
          <w:i/>
          <w:lang w:val="ro-RO"/>
        </w:rPr>
        <w:t>etapele de elaborare şi conţinutul-cadru al documentaţiilor tehnico - economice aferente obiectivelor/proiectelor de investiţii finanţate din fonduri publice</w:t>
      </w:r>
      <w:r w:rsidRPr="009F5F9B">
        <w:rPr>
          <w:rFonts w:ascii="Times New Roman" w:hAnsi="Times New Roman" w:cs="Times New Roman"/>
          <w:iCs/>
          <w:lang w:val="ro-RO"/>
        </w:rPr>
        <w:t xml:space="preserve">, devizul general este parte componentă a Studiului de fezabilitate și prin care s-au estimat cheltuielilor necesare realizării obiectivului de investiţii, respectiv valoarea totală generală a investiției. </w:t>
      </w:r>
    </w:p>
    <w:p w14:paraId="10F4B8DC" w14:textId="77777777" w:rsidR="009F5F9B" w:rsidRPr="009F5F9B" w:rsidRDefault="009F5F9B" w:rsidP="00B92E5F">
      <w:pPr>
        <w:spacing w:line="240" w:lineRule="auto"/>
        <w:ind w:firstLine="567"/>
        <w:contextualSpacing/>
        <w:jc w:val="both"/>
        <w:rPr>
          <w:rFonts w:ascii="Times New Roman" w:hAnsi="Times New Roman" w:cs="Times New Roman"/>
          <w:bCs/>
          <w:i/>
          <w:lang w:val="ro-RO"/>
        </w:rPr>
      </w:pPr>
      <w:r w:rsidRPr="009F5F9B">
        <w:rPr>
          <w:rFonts w:ascii="Times New Roman" w:hAnsi="Times New Roman" w:cs="Times New Roman"/>
          <w:lang w:val="ro-RO"/>
        </w:rPr>
        <w:t>De asemenea, î</w:t>
      </w:r>
      <w:r w:rsidRPr="009F5F9B">
        <w:rPr>
          <w:rFonts w:ascii="Times New Roman" w:hAnsi="Times New Roman" w:cs="Times New Roman"/>
          <w:bCs/>
          <w:lang w:val="ro-RO"/>
        </w:rPr>
        <w:t xml:space="preserve">n conformitate cu </w:t>
      </w:r>
      <w:r w:rsidRPr="009F5F9B">
        <w:rPr>
          <w:rFonts w:ascii="Times New Roman" w:hAnsi="Times New Roman" w:cs="Times New Roman"/>
          <w:i/>
          <w:iCs/>
          <w:lang w:val="ro-RO"/>
        </w:rPr>
        <w:t xml:space="preserve">H.G. nr. 907 din 29 noiembrie 2016, </w:t>
      </w:r>
      <w:r w:rsidRPr="009F5F9B">
        <w:rPr>
          <w:rFonts w:ascii="Times New Roman" w:hAnsi="Times New Roman" w:cs="Times New Roman"/>
          <w:iCs/>
          <w:lang w:val="ro-RO"/>
        </w:rPr>
        <w:t>SECŢIUNEA 3: Studiul de fezabilitate, Art. 7</w:t>
      </w:r>
      <w:r w:rsidRPr="009F5F9B">
        <w:rPr>
          <w:rFonts w:ascii="Times New Roman" w:hAnsi="Times New Roman" w:cs="Times New Roman"/>
          <w:bCs/>
          <w:iCs/>
          <w:lang w:val="ro-RO"/>
        </w:rPr>
        <w:t xml:space="preserve">, </w:t>
      </w:r>
      <w:r w:rsidRPr="009F5F9B">
        <w:rPr>
          <w:rFonts w:ascii="Times New Roman" w:hAnsi="Times New Roman" w:cs="Times New Roman"/>
          <w:bCs/>
          <w:i/>
          <w:lang w:val="ro-RO"/>
        </w:rPr>
        <w:t>Studiul de fezabilitate se aprobă potrivit competenţelor stabilite prin Legea nr. 500/2002, cu modificările şi completările ulterioare, şi Legea nr. 273/2006, cu modificările şi completările ulterioare.</w:t>
      </w:r>
    </w:p>
    <w:p w14:paraId="17649B14" w14:textId="77777777" w:rsidR="009F5F9B" w:rsidRPr="009F5F9B" w:rsidRDefault="009F5F9B" w:rsidP="00B92E5F">
      <w:pPr>
        <w:spacing w:line="240" w:lineRule="auto"/>
        <w:ind w:firstLine="567"/>
        <w:contextualSpacing/>
        <w:jc w:val="both"/>
        <w:rPr>
          <w:rFonts w:ascii="Times New Roman" w:hAnsi="Times New Roman" w:cs="Times New Roman"/>
          <w:iCs/>
          <w:highlight w:val="yellow"/>
          <w:lang w:val="ro-RO"/>
        </w:rPr>
      </w:pPr>
      <w:r w:rsidRPr="009F5F9B">
        <w:rPr>
          <w:rFonts w:ascii="Times New Roman" w:hAnsi="Times New Roman" w:cs="Times New Roman"/>
          <w:iCs/>
          <w:lang w:val="ro-RO"/>
        </w:rPr>
        <w:t>În urma finalizării Studiului de Fezabilitate pentru obiectivul de investiții „</w:t>
      </w:r>
      <w:r w:rsidRPr="009F5F9B">
        <w:rPr>
          <w:rFonts w:ascii="Times New Roman" w:hAnsi="Times New Roman" w:cs="Times New Roman"/>
          <w:bCs/>
          <w:iCs/>
          <w:lang w:val="ro-RO"/>
        </w:rPr>
        <w:t>DRUM EXPRES PETEA-SATU MARE-BAIA MARE, SECTOR SATU MARE-BAIA MARE</w:t>
      </w:r>
      <w:r w:rsidRPr="009F5F9B">
        <w:rPr>
          <w:rFonts w:ascii="Times New Roman" w:hAnsi="Times New Roman" w:cs="Times New Roman"/>
          <w:iCs/>
          <w:lang w:val="ro-RO"/>
        </w:rPr>
        <w:t xml:space="preserve">” </w:t>
      </w:r>
      <w:r w:rsidRPr="009F5F9B">
        <w:rPr>
          <w:rFonts w:ascii="Times New Roman" w:hAnsi="Times New Roman" w:cs="Times New Roman"/>
          <w:lang w:val="ro-RO"/>
        </w:rPr>
        <w:t>conform cerințelor C.N.A.I.R. S.A. în calitate de Beneficiar al proiectului</w:t>
      </w:r>
      <w:r w:rsidRPr="009F5F9B">
        <w:rPr>
          <w:rFonts w:ascii="Times New Roman" w:hAnsi="Times New Roman" w:cs="Times New Roman"/>
          <w:iCs/>
          <w:lang w:val="ro-RO"/>
        </w:rPr>
        <w:t xml:space="preserve"> și obținerii avizului CTE – C.N.A.I.R.,</w:t>
      </w:r>
    </w:p>
    <w:p w14:paraId="099E08DD" w14:textId="77777777" w:rsidR="009F5F9B" w:rsidRPr="009F5F9B" w:rsidRDefault="009F5F9B" w:rsidP="00B92E5F">
      <w:pPr>
        <w:spacing w:line="240" w:lineRule="auto"/>
        <w:ind w:firstLine="567"/>
        <w:contextualSpacing/>
        <w:jc w:val="both"/>
        <w:rPr>
          <w:rFonts w:ascii="Times New Roman" w:hAnsi="Times New Roman" w:cs="Times New Roman"/>
          <w:bCs/>
          <w:i/>
          <w:lang w:val="ro-RO"/>
        </w:rPr>
      </w:pPr>
      <w:r w:rsidRPr="009F5F9B">
        <w:rPr>
          <w:rFonts w:ascii="Times New Roman" w:hAnsi="Times New Roman" w:cs="Times New Roman"/>
          <w:lang w:val="ro-RO"/>
        </w:rPr>
        <w:t xml:space="preserve">În vederea respectării prevederilor H.G. nr. 907/2016 și a promovării spre avizare a documentației la ordonatorul pincipal de credite, Ministerul Transporturilor și Infrastructurii,  </w:t>
      </w:r>
    </w:p>
    <w:p w14:paraId="0EC6BB6A" w14:textId="77777777" w:rsidR="009F5F9B" w:rsidRPr="009F5F9B" w:rsidRDefault="009F5F9B" w:rsidP="00B92E5F">
      <w:pPr>
        <w:spacing w:line="240" w:lineRule="auto"/>
        <w:ind w:firstLine="567"/>
        <w:contextualSpacing/>
        <w:jc w:val="both"/>
        <w:rPr>
          <w:rFonts w:ascii="Times New Roman" w:hAnsi="Times New Roman" w:cs="Times New Roman"/>
          <w:lang w:val="ro-RO"/>
        </w:rPr>
      </w:pPr>
      <w:r w:rsidRPr="009F5F9B">
        <w:rPr>
          <w:rFonts w:ascii="Times New Roman" w:hAnsi="Times New Roman" w:cs="Times New Roman"/>
          <w:lang w:val="ro-RO"/>
        </w:rPr>
        <w:t xml:space="preserve">Este necesară aprobarea principalilor </w:t>
      </w:r>
      <w:bookmarkStart w:id="4" w:name="_Hlk170221710"/>
      <w:r w:rsidRPr="009F5F9B">
        <w:rPr>
          <w:rFonts w:ascii="Times New Roman" w:hAnsi="Times New Roman" w:cs="Times New Roman"/>
          <w:lang w:val="ro-RO"/>
        </w:rPr>
        <w:t>indicatori tehnico-economici ai investiției precum și a devizului general potrivit H.G. nr. 907/2016 privind etapele de elaborare şi conținutul - cadru al documentațiilor tehnico-economice aferente obiectivelor/proiectelor de investiții finanțate din fonduri publice</w:t>
      </w:r>
      <w:bookmarkEnd w:id="4"/>
      <w:r w:rsidRPr="009F5F9B">
        <w:rPr>
          <w:rFonts w:ascii="Times New Roman" w:hAnsi="Times New Roman" w:cs="Times New Roman"/>
          <w:lang w:val="ro-RO"/>
        </w:rPr>
        <w:t>, rezultați în urma elaborării Studiului de Fezabilitate (SF) de către Județul Maramures și Județul Satu Mare.</w:t>
      </w:r>
    </w:p>
    <w:p w14:paraId="088B7794" w14:textId="77777777" w:rsidR="009F5F9B" w:rsidRPr="009F5F9B" w:rsidRDefault="009F5F9B" w:rsidP="00B92E5F">
      <w:pPr>
        <w:spacing w:line="240" w:lineRule="auto"/>
        <w:ind w:firstLine="567"/>
        <w:contextualSpacing/>
        <w:jc w:val="both"/>
        <w:rPr>
          <w:rFonts w:ascii="Times New Roman" w:hAnsi="Times New Roman" w:cs="Times New Roman"/>
          <w:b/>
          <w:lang w:val="ro-RO"/>
        </w:rPr>
      </w:pPr>
    </w:p>
    <w:p w14:paraId="697718F1" w14:textId="77777777" w:rsidR="009F5F9B" w:rsidRPr="009F5F9B" w:rsidRDefault="009F5F9B" w:rsidP="00B92E5F">
      <w:pPr>
        <w:spacing w:line="240" w:lineRule="auto"/>
        <w:ind w:firstLine="567"/>
        <w:contextualSpacing/>
        <w:jc w:val="both"/>
        <w:rPr>
          <w:rFonts w:ascii="Times New Roman" w:hAnsi="Times New Roman" w:cs="Times New Roman"/>
          <w:bCs/>
          <w:i/>
          <w:lang w:val="ro-RO"/>
        </w:rPr>
      </w:pPr>
      <w:r w:rsidRPr="009F5F9B">
        <w:rPr>
          <w:rFonts w:ascii="Times New Roman" w:hAnsi="Times New Roman" w:cs="Times New Roman"/>
          <w:b/>
          <w:lang w:val="ro-RO"/>
        </w:rPr>
        <w:t>PRINCIPALII INDICATORI TEHNICO – ECONOMICI PENTRU OBIECTIVUL DE INVESTIȚII ”VARIANTA DE OCOLIRE BAIA MARE” sunt:</w:t>
      </w:r>
    </w:p>
    <w:p w14:paraId="685B4C5D" w14:textId="77777777" w:rsidR="009F5F9B" w:rsidRPr="009F5F9B" w:rsidRDefault="009F5F9B" w:rsidP="00B92E5F">
      <w:pPr>
        <w:pStyle w:val="NoSpacing"/>
        <w:jc w:val="both"/>
        <w:rPr>
          <w:bCs/>
          <w:iCs/>
          <w:sz w:val="22"/>
          <w:szCs w:val="22"/>
          <w:lang w:val="ro-RO"/>
        </w:rPr>
      </w:pPr>
      <w:r w:rsidRPr="009F5F9B">
        <w:rPr>
          <w:b/>
          <w:bCs/>
          <w:iCs/>
          <w:sz w:val="22"/>
          <w:szCs w:val="22"/>
          <w:lang w:val="ro-RO"/>
        </w:rPr>
        <w:t>Titular:</w:t>
      </w:r>
      <w:r w:rsidRPr="009F5F9B">
        <w:rPr>
          <w:bCs/>
          <w:iCs/>
          <w:sz w:val="22"/>
          <w:szCs w:val="22"/>
          <w:lang w:val="ro-RO"/>
        </w:rPr>
        <w:t xml:space="preserve"> </w:t>
      </w:r>
      <w:r w:rsidRPr="009F5F9B">
        <w:rPr>
          <w:bCs/>
          <w:iCs/>
          <w:sz w:val="22"/>
          <w:szCs w:val="22"/>
          <w:lang w:val="ro-RO"/>
        </w:rPr>
        <w:tab/>
        <w:t>MINISTERUL TRANSPORTURILOR SI INFRASTRUCTURII</w:t>
      </w:r>
    </w:p>
    <w:p w14:paraId="118D6FE4" w14:textId="77777777" w:rsidR="009F5F9B" w:rsidRPr="009F5F9B" w:rsidRDefault="009F5F9B" w:rsidP="00B92E5F">
      <w:pPr>
        <w:pStyle w:val="NoSpacing"/>
        <w:jc w:val="both"/>
        <w:rPr>
          <w:bCs/>
          <w:iCs/>
          <w:sz w:val="22"/>
          <w:szCs w:val="22"/>
          <w:lang w:val="ro-RO"/>
        </w:rPr>
      </w:pPr>
      <w:r w:rsidRPr="009F5F9B">
        <w:rPr>
          <w:b/>
          <w:bCs/>
          <w:iCs/>
          <w:sz w:val="22"/>
          <w:szCs w:val="22"/>
          <w:lang w:val="ro-RO"/>
        </w:rPr>
        <w:t>Beneficiar:</w:t>
      </w:r>
      <w:r w:rsidRPr="009F5F9B">
        <w:rPr>
          <w:bCs/>
          <w:iCs/>
          <w:sz w:val="22"/>
          <w:szCs w:val="22"/>
          <w:lang w:val="ro-RO"/>
        </w:rPr>
        <w:t xml:space="preserve"> </w:t>
      </w:r>
      <w:r w:rsidRPr="009F5F9B">
        <w:rPr>
          <w:bCs/>
          <w:iCs/>
          <w:sz w:val="22"/>
          <w:szCs w:val="22"/>
          <w:lang w:val="ro-RO"/>
        </w:rPr>
        <w:tab/>
        <w:t>Compania Națională de Administrare a Infrastructurii Rutiere SA</w:t>
      </w:r>
    </w:p>
    <w:p w14:paraId="7A0A4B13" w14:textId="77777777" w:rsidR="009F5F9B" w:rsidRPr="009F5F9B" w:rsidRDefault="009F5F9B" w:rsidP="00B92E5F">
      <w:pPr>
        <w:pStyle w:val="NoSpacing"/>
        <w:jc w:val="both"/>
        <w:rPr>
          <w:bCs/>
          <w:iCs/>
          <w:sz w:val="22"/>
          <w:szCs w:val="22"/>
          <w:lang w:val="ro-RO"/>
        </w:rPr>
      </w:pPr>
      <w:r w:rsidRPr="009F5F9B">
        <w:rPr>
          <w:bCs/>
          <w:iCs/>
          <w:sz w:val="22"/>
          <w:szCs w:val="22"/>
          <w:lang w:val="ro-RO"/>
        </w:rPr>
        <w:tab/>
      </w:r>
      <w:r w:rsidRPr="009F5F9B">
        <w:rPr>
          <w:bCs/>
          <w:iCs/>
          <w:sz w:val="22"/>
          <w:szCs w:val="22"/>
          <w:lang w:val="ro-RO"/>
        </w:rPr>
        <w:tab/>
        <w:t>Consiliul Judetean Maramures</w:t>
      </w:r>
    </w:p>
    <w:p w14:paraId="77EF2284" w14:textId="77777777" w:rsidR="009F5F9B" w:rsidRPr="009F5F9B" w:rsidRDefault="009F5F9B" w:rsidP="00B92E5F">
      <w:pPr>
        <w:pStyle w:val="NoSpacing"/>
        <w:jc w:val="both"/>
        <w:rPr>
          <w:bCs/>
          <w:iCs/>
          <w:sz w:val="22"/>
          <w:szCs w:val="22"/>
          <w:lang w:val="ro-RO"/>
        </w:rPr>
      </w:pPr>
      <w:r w:rsidRPr="009F5F9B">
        <w:rPr>
          <w:bCs/>
          <w:iCs/>
          <w:sz w:val="22"/>
          <w:szCs w:val="22"/>
          <w:lang w:val="ro-RO"/>
        </w:rPr>
        <w:tab/>
      </w:r>
      <w:r w:rsidRPr="009F5F9B">
        <w:rPr>
          <w:bCs/>
          <w:iCs/>
          <w:sz w:val="22"/>
          <w:szCs w:val="22"/>
          <w:lang w:val="ro-RO"/>
        </w:rPr>
        <w:tab/>
        <w:t>Consiliul Județean Satu Mare</w:t>
      </w:r>
    </w:p>
    <w:p w14:paraId="68C0A7B0" w14:textId="77777777" w:rsidR="009F5F9B" w:rsidRPr="009F5F9B" w:rsidRDefault="009F5F9B" w:rsidP="00B92E5F">
      <w:pPr>
        <w:pStyle w:val="NoSpacing"/>
        <w:jc w:val="both"/>
        <w:rPr>
          <w:bCs/>
          <w:iCs/>
          <w:sz w:val="22"/>
          <w:szCs w:val="22"/>
          <w:lang w:val="ro-RO"/>
        </w:rPr>
      </w:pPr>
      <w:r w:rsidRPr="009F5F9B">
        <w:rPr>
          <w:b/>
          <w:bCs/>
          <w:iCs/>
          <w:sz w:val="22"/>
          <w:szCs w:val="22"/>
          <w:lang w:val="ro-RO"/>
        </w:rPr>
        <w:lastRenderedPageBreak/>
        <w:t>Amplasament:</w:t>
      </w:r>
      <w:r w:rsidRPr="009F5F9B">
        <w:rPr>
          <w:bCs/>
          <w:iCs/>
          <w:sz w:val="22"/>
          <w:szCs w:val="22"/>
          <w:lang w:val="ro-RO"/>
        </w:rPr>
        <w:t xml:space="preserve"> Județul Maramureș și Județul Satu Mare</w:t>
      </w:r>
    </w:p>
    <w:tbl>
      <w:tblPr>
        <w:tblW w:w="0" w:type="auto"/>
        <w:tblInd w:w="-108" w:type="dxa"/>
        <w:tblLook w:val="04A0" w:firstRow="1" w:lastRow="0" w:firstColumn="1" w:lastColumn="0" w:noHBand="0" w:noVBand="1"/>
      </w:tblPr>
      <w:tblGrid>
        <w:gridCol w:w="4503"/>
        <w:gridCol w:w="1826"/>
        <w:gridCol w:w="664"/>
      </w:tblGrid>
      <w:tr w:rsidR="009F5F9B" w:rsidRPr="009F5F9B" w14:paraId="59902425" w14:textId="77777777" w:rsidTr="006A0360">
        <w:tc>
          <w:tcPr>
            <w:tcW w:w="4503" w:type="dxa"/>
          </w:tcPr>
          <w:p w14:paraId="644DD453" w14:textId="77777777" w:rsidR="009F5F9B" w:rsidRPr="009F5F9B" w:rsidRDefault="009F5F9B" w:rsidP="00B92E5F">
            <w:pPr>
              <w:pStyle w:val="NoSpacing"/>
              <w:rPr>
                <w:b/>
                <w:bCs/>
                <w:iCs/>
                <w:sz w:val="22"/>
                <w:szCs w:val="22"/>
                <w:lang w:val="ro-RO"/>
              </w:rPr>
            </w:pPr>
            <w:r w:rsidRPr="009F5F9B">
              <w:rPr>
                <w:b/>
                <w:bCs/>
                <w:iCs/>
                <w:sz w:val="22"/>
                <w:szCs w:val="22"/>
                <w:lang w:val="ro-RO"/>
              </w:rPr>
              <w:t xml:space="preserve">Valoarea totală a investiției (inclusiv TVA): </w:t>
            </w:r>
          </w:p>
        </w:tc>
        <w:tc>
          <w:tcPr>
            <w:tcW w:w="1826" w:type="dxa"/>
          </w:tcPr>
          <w:p w14:paraId="18D76CF1" w14:textId="77777777" w:rsidR="009F5F9B" w:rsidRPr="009F5F9B" w:rsidRDefault="009F5F9B" w:rsidP="00B92E5F">
            <w:pPr>
              <w:pStyle w:val="NoSpacing"/>
              <w:jc w:val="both"/>
              <w:rPr>
                <w:b/>
                <w:bCs/>
                <w:iCs/>
                <w:sz w:val="22"/>
                <w:szCs w:val="22"/>
                <w:lang w:val="ro-RO"/>
              </w:rPr>
            </w:pPr>
            <w:r w:rsidRPr="009F5F9B">
              <w:rPr>
                <w:b/>
                <w:bCs/>
                <w:iCs/>
                <w:sz w:val="22"/>
                <w:szCs w:val="22"/>
                <w:lang w:val="en-GB"/>
              </w:rPr>
              <w:t xml:space="preserve">5.931.597.615,73  </w:t>
            </w:r>
            <w:r w:rsidRPr="009F5F9B">
              <w:rPr>
                <w:b/>
                <w:bCs/>
                <w:iCs/>
                <w:sz w:val="22"/>
                <w:szCs w:val="22"/>
                <w:lang w:val="ro-RO"/>
              </w:rPr>
              <w:t xml:space="preserve"> </w:t>
            </w:r>
          </w:p>
        </w:tc>
        <w:tc>
          <w:tcPr>
            <w:tcW w:w="664" w:type="dxa"/>
          </w:tcPr>
          <w:p w14:paraId="1B7B0589" w14:textId="77777777" w:rsidR="009F5F9B" w:rsidRPr="009F5F9B" w:rsidRDefault="009F5F9B" w:rsidP="00B92E5F">
            <w:pPr>
              <w:pStyle w:val="NoSpacing"/>
              <w:rPr>
                <w:b/>
                <w:bCs/>
                <w:iCs/>
                <w:sz w:val="22"/>
                <w:szCs w:val="22"/>
                <w:lang w:val="ro-RO"/>
              </w:rPr>
            </w:pPr>
            <w:r w:rsidRPr="009F5F9B">
              <w:rPr>
                <w:b/>
                <w:bCs/>
                <w:iCs/>
                <w:sz w:val="22"/>
                <w:szCs w:val="22"/>
                <w:lang w:val="ro-RO"/>
              </w:rPr>
              <w:t xml:space="preserve">lei </w:t>
            </w:r>
          </w:p>
        </w:tc>
      </w:tr>
      <w:tr w:rsidR="009F5F9B" w:rsidRPr="009F5F9B" w14:paraId="05A805D8" w14:textId="77777777" w:rsidTr="006A0360">
        <w:tc>
          <w:tcPr>
            <w:tcW w:w="4503" w:type="dxa"/>
          </w:tcPr>
          <w:p w14:paraId="09C7954F" w14:textId="77777777" w:rsidR="009F5F9B" w:rsidRPr="009F5F9B" w:rsidRDefault="009F5F9B" w:rsidP="00B92E5F">
            <w:pPr>
              <w:pStyle w:val="NoSpacing"/>
              <w:rPr>
                <w:b/>
                <w:bCs/>
                <w:iCs/>
                <w:sz w:val="22"/>
                <w:szCs w:val="22"/>
                <w:lang w:val="ro-RO"/>
              </w:rPr>
            </w:pPr>
            <w:r w:rsidRPr="009F5F9B">
              <w:rPr>
                <w:b/>
                <w:bCs/>
                <w:iCs/>
                <w:sz w:val="22"/>
                <w:szCs w:val="22"/>
                <w:lang w:val="ro-RO"/>
              </w:rPr>
              <w:t>(în prețuri la 10.2025/1 euro = 5,0783 lei)</w:t>
            </w:r>
          </w:p>
        </w:tc>
        <w:tc>
          <w:tcPr>
            <w:tcW w:w="1826" w:type="dxa"/>
          </w:tcPr>
          <w:p w14:paraId="48B7A076" w14:textId="77777777" w:rsidR="009F5F9B" w:rsidRPr="009F5F9B" w:rsidRDefault="009F5F9B" w:rsidP="00B92E5F">
            <w:pPr>
              <w:pStyle w:val="NoSpacing"/>
              <w:jc w:val="both"/>
              <w:rPr>
                <w:b/>
                <w:bCs/>
                <w:iCs/>
                <w:sz w:val="22"/>
                <w:szCs w:val="22"/>
                <w:lang w:val="ro-RO"/>
              </w:rPr>
            </w:pPr>
            <w:r w:rsidRPr="009F5F9B">
              <w:rPr>
                <w:b/>
                <w:bCs/>
                <w:iCs/>
                <w:sz w:val="22"/>
                <w:szCs w:val="22"/>
                <w:lang w:val="ro-RO"/>
              </w:rPr>
              <w:t>1.168.028.201,51</w:t>
            </w:r>
          </w:p>
        </w:tc>
        <w:tc>
          <w:tcPr>
            <w:tcW w:w="664" w:type="dxa"/>
          </w:tcPr>
          <w:p w14:paraId="4793A183" w14:textId="77777777" w:rsidR="009F5F9B" w:rsidRPr="009F5F9B" w:rsidRDefault="009F5F9B" w:rsidP="00B92E5F">
            <w:pPr>
              <w:pStyle w:val="NoSpacing"/>
              <w:rPr>
                <w:b/>
                <w:bCs/>
                <w:iCs/>
                <w:sz w:val="22"/>
                <w:szCs w:val="22"/>
                <w:lang w:val="ro-RO"/>
              </w:rPr>
            </w:pPr>
            <w:r w:rsidRPr="009F5F9B">
              <w:rPr>
                <w:b/>
                <w:bCs/>
                <w:iCs/>
                <w:sz w:val="22"/>
                <w:szCs w:val="22"/>
                <w:lang w:val="ro-RO"/>
              </w:rPr>
              <w:t>euro</w:t>
            </w:r>
          </w:p>
        </w:tc>
      </w:tr>
      <w:tr w:rsidR="009F5F9B" w:rsidRPr="009F5F9B" w14:paraId="0AA0F98E" w14:textId="77777777" w:rsidTr="006A0360">
        <w:tc>
          <w:tcPr>
            <w:tcW w:w="4503" w:type="dxa"/>
          </w:tcPr>
          <w:p w14:paraId="19F4EE7C" w14:textId="77777777" w:rsidR="009F5F9B" w:rsidRPr="009F5F9B" w:rsidRDefault="009F5F9B" w:rsidP="00B92E5F">
            <w:pPr>
              <w:pStyle w:val="NoSpacing"/>
              <w:rPr>
                <w:b/>
                <w:bCs/>
                <w:iCs/>
                <w:sz w:val="22"/>
                <w:szCs w:val="22"/>
                <w:lang w:val="ro-RO"/>
              </w:rPr>
            </w:pPr>
            <w:r w:rsidRPr="009F5F9B">
              <w:rPr>
                <w:b/>
                <w:bCs/>
                <w:iCs/>
                <w:sz w:val="22"/>
                <w:szCs w:val="22"/>
                <w:lang w:val="ro-RO"/>
              </w:rPr>
              <w:t xml:space="preserve">Din care C+M (inclusiv TVA) </w:t>
            </w:r>
          </w:p>
        </w:tc>
        <w:tc>
          <w:tcPr>
            <w:tcW w:w="1826" w:type="dxa"/>
          </w:tcPr>
          <w:p w14:paraId="646DDBAB" w14:textId="77777777" w:rsidR="009F5F9B" w:rsidRPr="009F5F9B" w:rsidRDefault="009F5F9B" w:rsidP="00B92E5F">
            <w:pPr>
              <w:pStyle w:val="NoSpacing"/>
              <w:jc w:val="both"/>
              <w:rPr>
                <w:b/>
                <w:bCs/>
                <w:iCs/>
                <w:sz w:val="22"/>
                <w:szCs w:val="22"/>
                <w:lang w:val="ro-RO"/>
              </w:rPr>
            </w:pPr>
            <w:r w:rsidRPr="009F5F9B">
              <w:rPr>
                <w:b/>
                <w:bCs/>
                <w:iCs/>
                <w:sz w:val="22"/>
                <w:szCs w:val="22"/>
                <w:lang w:val="ro-RO"/>
              </w:rPr>
              <w:t>4.209.775.273,18</w:t>
            </w:r>
          </w:p>
        </w:tc>
        <w:tc>
          <w:tcPr>
            <w:tcW w:w="664" w:type="dxa"/>
          </w:tcPr>
          <w:p w14:paraId="65911A0B" w14:textId="77777777" w:rsidR="009F5F9B" w:rsidRPr="009F5F9B" w:rsidRDefault="009F5F9B" w:rsidP="00B92E5F">
            <w:pPr>
              <w:pStyle w:val="NoSpacing"/>
              <w:jc w:val="both"/>
              <w:rPr>
                <w:b/>
                <w:bCs/>
                <w:iCs/>
                <w:sz w:val="22"/>
                <w:szCs w:val="22"/>
                <w:lang w:val="ro-RO"/>
              </w:rPr>
            </w:pPr>
            <w:r w:rsidRPr="009F5F9B">
              <w:rPr>
                <w:b/>
                <w:bCs/>
                <w:iCs/>
                <w:sz w:val="22"/>
                <w:szCs w:val="22"/>
                <w:lang w:val="ro-RO"/>
              </w:rPr>
              <w:t xml:space="preserve">lei        </w:t>
            </w:r>
          </w:p>
        </w:tc>
      </w:tr>
      <w:tr w:rsidR="009F5F9B" w:rsidRPr="009F5F9B" w14:paraId="6F7D7F7D" w14:textId="77777777" w:rsidTr="006A0360">
        <w:tc>
          <w:tcPr>
            <w:tcW w:w="4503" w:type="dxa"/>
          </w:tcPr>
          <w:p w14:paraId="5C928318" w14:textId="77777777" w:rsidR="009F5F9B" w:rsidRPr="009F5F9B" w:rsidRDefault="009F5F9B" w:rsidP="00B92E5F">
            <w:pPr>
              <w:pStyle w:val="NoSpacing"/>
              <w:rPr>
                <w:b/>
                <w:bCs/>
                <w:iCs/>
                <w:sz w:val="22"/>
                <w:szCs w:val="22"/>
                <w:lang w:val="ro-RO"/>
              </w:rPr>
            </w:pPr>
          </w:p>
        </w:tc>
        <w:tc>
          <w:tcPr>
            <w:tcW w:w="1826" w:type="dxa"/>
          </w:tcPr>
          <w:p w14:paraId="7BBC06A2" w14:textId="77777777" w:rsidR="009F5F9B" w:rsidRPr="009F5F9B" w:rsidRDefault="009F5F9B" w:rsidP="00B92E5F">
            <w:pPr>
              <w:pStyle w:val="NoSpacing"/>
              <w:jc w:val="both"/>
              <w:rPr>
                <w:b/>
                <w:bCs/>
                <w:iCs/>
                <w:sz w:val="22"/>
                <w:szCs w:val="22"/>
                <w:lang w:val="ro-RO"/>
              </w:rPr>
            </w:pPr>
            <w:r w:rsidRPr="009F5F9B">
              <w:rPr>
                <w:b/>
                <w:bCs/>
                <w:iCs/>
                <w:sz w:val="22"/>
                <w:szCs w:val="22"/>
                <w:lang w:val="ro-RO"/>
              </w:rPr>
              <w:t xml:space="preserve">   828.973.332,25     </w:t>
            </w:r>
          </w:p>
        </w:tc>
        <w:tc>
          <w:tcPr>
            <w:tcW w:w="664" w:type="dxa"/>
          </w:tcPr>
          <w:p w14:paraId="775769A9" w14:textId="77777777" w:rsidR="009F5F9B" w:rsidRPr="009F5F9B" w:rsidRDefault="009F5F9B" w:rsidP="00B92E5F">
            <w:pPr>
              <w:pStyle w:val="NoSpacing"/>
              <w:rPr>
                <w:b/>
                <w:bCs/>
                <w:iCs/>
                <w:sz w:val="22"/>
                <w:szCs w:val="22"/>
                <w:lang w:val="ro-RO"/>
              </w:rPr>
            </w:pPr>
            <w:r w:rsidRPr="009F5F9B">
              <w:rPr>
                <w:b/>
                <w:bCs/>
                <w:iCs/>
                <w:sz w:val="22"/>
                <w:szCs w:val="22"/>
                <w:lang w:val="ro-RO"/>
              </w:rPr>
              <w:t>euro</w:t>
            </w:r>
          </w:p>
        </w:tc>
      </w:tr>
    </w:tbl>
    <w:p w14:paraId="19D91FE4" w14:textId="77777777" w:rsidR="009F5F9B" w:rsidRPr="009F5F9B" w:rsidRDefault="009F5F9B" w:rsidP="00B92E5F">
      <w:pPr>
        <w:pStyle w:val="NoSpacing"/>
        <w:jc w:val="both"/>
        <w:rPr>
          <w:bCs/>
          <w:iCs/>
          <w:sz w:val="22"/>
          <w:szCs w:val="22"/>
          <w:lang w:val="ro-RO"/>
        </w:rPr>
      </w:pPr>
      <w:r w:rsidRPr="009F5F9B">
        <w:rPr>
          <w:b/>
          <w:bCs/>
          <w:iCs/>
          <w:sz w:val="22"/>
          <w:szCs w:val="22"/>
          <w:lang w:val="ro-RO"/>
        </w:rPr>
        <w:t>Durata de execuție: 42 luni</w:t>
      </w:r>
    </w:p>
    <w:p w14:paraId="2C4972A7" w14:textId="77777777" w:rsidR="009F5F9B" w:rsidRPr="009F5F9B" w:rsidRDefault="009F5F9B" w:rsidP="00B92E5F">
      <w:pPr>
        <w:pStyle w:val="NoSpacing"/>
        <w:jc w:val="both"/>
        <w:rPr>
          <w:b/>
          <w:iCs/>
          <w:sz w:val="22"/>
          <w:szCs w:val="22"/>
          <w:lang w:val="ro-RO"/>
        </w:rPr>
      </w:pPr>
      <w:r w:rsidRPr="009F5F9B">
        <w:rPr>
          <w:b/>
          <w:iCs/>
          <w:sz w:val="22"/>
          <w:szCs w:val="22"/>
          <w:lang w:val="ro-RO"/>
        </w:rPr>
        <w:t xml:space="preserve">Eşalonarea investiţiei (inclusiv TVA): </w:t>
      </w:r>
    </w:p>
    <w:tbl>
      <w:tblPr>
        <w:tblW w:w="0" w:type="auto"/>
        <w:tblLook w:val="04A0" w:firstRow="1" w:lastRow="0" w:firstColumn="1" w:lastColumn="0" w:noHBand="0" w:noVBand="1"/>
      </w:tblPr>
      <w:tblGrid>
        <w:gridCol w:w="817"/>
        <w:gridCol w:w="1134"/>
        <w:gridCol w:w="2126"/>
        <w:gridCol w:w="1701"/>
        <w:gridCol w:w="2127"/>
      </w:tblGrid>
      <w:tr w:rsidR="009F5F9B" w:rsidRPr="009F5F9B" w14:paraId="7D17AB6D" w14:textId="77777777" w:rsidTr="006A0360">
        <w:tc>
          <w:tcPr>
            <w:tcW w:w="817" w:type="dxa"/>
          </w:tcPr>
          <w:p w14:paraId="18C0299E" w14:textId="77777777" w:rsidR="009F5F9B" w:rsidRPr="009F5F9B" w:rsidRDefault="009F5F9B" w:rsidP="00B92E5F">
            <w:pPr>
              <w:pStyle w:val="NoSpacing"/>
              <w:ind w:hanging="105"/>
              <w:jc w:val="both"/>
              <w:rPr>
                <w:bCs/>
                <w:iCs/>
                <w:sz w:val="22"/>
                <w:szCs w:val="22"/>
                <w:lang w:val="ro-RO"/>
              </w:rPr>
            </w:pPr>
            <w:r w:rsidRPr="009F5F9B">
              <w:rPr>
                <w:bCs/>
                <w:iCs/>
                <w:sz w:val="22"/>
                <w:szCs w:val="22"/>
                <w:lang w:val="ro-RO"/>
              </w:rPr>
              <w:t xml:space="preserve">INV      </w:t>
            </w:r>
          </w:p>
        </w:tc>
        <w:tc>
          <w:tcPr>
            <w:tcW w:w="1134" w:type="dxa"/>
          </w:tcPr>
          <w:p w14:paraId="1F0947AD" w14:textId="77777777" w:rsidR="009F5F9B" w:rsidRPr="009F5F9B" w:rsidRDefault="009F5F9B" w:rsidP="00B92E5F">
            <w:pPr>
              <w:pStyle w:val="NoSpacing"/>
              <w:jc w:val="right"/>
              <w:rPr>
                <w:bCs/>
                <w:iCs/>
                <w:sz w:val="22"/>
                <w:szCs w:val="22"/>
                <w:lang w:val="ro-RO"/>
              </w:rPr>
            </w:pPr>
            <w:r w:rsidRPr="009F5F9B">
              <w:rPr>
                <w:bCs/>
                <w:iCs/>
                <w:sz w:val="22"/>
                <w:szCs w:val="22"/>
                <w:lang w:val="ro-RO"/>
              </w:rPr>
              <w:t>ANUL I</w:t>
            </w:r>
          </w:p>
        </w:tc>
        <w:tc>
          <w:tcPr>
            <w:tcW w:w="2126" w:type="dxa"/>
          </w:tcPr>
          <w:p w14:paraId="420F70F1" w14:textId="77777777" w:rsidR="009F5F9B" w:rsidRPr="009F5F9B" w:rsidRDefault="009F5F9B" w:rsidP="00B92E5F">
            <w:pPr>
              <w:pStyle w:val="NoSpacing"/>
              <w:jc w:val="right"/>
              <w:rPr>
                <w:bCs/>
                <w:iCs/>
                <w:sz w:val="22"/>
                <w:szCs w:val="22"/>
                <w:lang w:val="ro-RO"/>
              </w:rPr>
            </w:pPr>
            <w:r w:rsidRPr="009F5F9B">
              <w:rPr>
                <w:bCs/>
                <w:iCs/>
                <w:sz w:val="22"/>
                <w:szCs w:val="22"/>
                <w:lang w:val="ro-RO"/>
              </w:rPr>
              <w:t xml:space="preserve">5.931.596,59 lei  </w:t>
            </w:r>
          </w:p>
        </w:tc>
        <w:tc>
          <w:tcPr>
            <w:tcW w:w="1701" w:type="dxa"/>
          </w:tcPr>
          <w:p w14:paraId="656CB71F" w14:textId="77777777" w:rsidR="009F5F9B" w:rsidRPr="009F5F9B" w:rsidRDefault="009F5F9B" w:rsidP="00B92E5F">
            <w:pPr>
              <w:pStyle w:val="NoSpacing"/>
              <w:jc w:val="right"/>
              <w:rPr>
                <w:bCs/>
                <w:iCs/>
                <w:sz w:val="22"/>
                <w:szCs w:val="22"/>
                <w:lang w:val="ro-RO"/>
              </w:rPr>
            </w:pPr>
            <w:r w:rsidRPr="009F5F9B">
              <w:rPr>
                <w:bCs/>
                <w:iCs/>
                <w:sz w:val="22"/>
                <w:szCs w:val="22"/>
                <w:lang w:val="ro-RO"/>
              </w:rPr>
              <w:t xml:space="preserve">ANUL II  </w:t>
            </w:r>
          </w:p>
        </w:tc>
        <w:tc>
          <w:tcPr>
            <w:tcW w:w="2127" w:type="dxa"/>
          </w:tcPr>
          <w:p w14:paraId="16BA1DD8" w14:textId="77777777" w:rsidR="009F5F9B" w:rsidRPr="009F5F9B" w:rsidRDefault="009F5F9B" w:rsidP="00B92E5F">
            <w:pPr>
              <w:pStyle w:val="NoSpacing"/>
              <w:jc w:val="right"/>
              <w:rPr>
                <w:bCs/>
                <w:iCs/>
                <w:sz w:val="22"/>
                <w:szCs w:val="22"/>
                <w:lang w:val="ro-RO"/>
              </w:rPr>
            </w:pPr>
            <w:r w:rsidRPr="009F5F9B">
              <w:rPr>
                <w:bCs/>
                <w:iCs/>
                <w:sz w:val="22"/>
                <w:szCs w:val="22"/>
                <w:lang w:val="ro-RO"/>
              </w:rPr>
              <w:t xml:space="preserve">296.579.880,40 lei     </w:t>
            </w:r>
          </w:p>
        </w:tc>
      </w:tr>
      <w:tr w:rsidR="009F5F9B" w:rsidRPr="009F5F9B" w14:paraId="3BD69A99" w14:textId="77777777" w:rsidTr="006A0360">
        <w:tc>
          <w:tcPr>
            <w:tcW w:w="817" w:type="dxa"/>
          </w:tcPr>
          <w:p w14:paraId="10186B23" w14:textId="77777777" w:rsidR="009F5F9B" w:rsidRPr="009F5F9B" w:rsidRDefault="009F5F9B" w:rsidP="00B92E5F">
            <w:pPr>
              <w:pStyle w:val="NoSpacing"/>
              <w:ind w:hanging="105"/>
              <w:jc w:val="both"/>
              <w:rPr>
                <w:bCs/>
                <w:iCs/>
                <w:sz w:val="22"/>
                <w:szCs w:val="22"/>
                <w:lang w:val="ro-RO"/>
              </w:rPr>
            </w:pPr>
            <w:r w:rsidRPr="009F5F9B">
              <w:rPr>
                <w:bCs/>
                <w:iCs/>
                <w:sz w:val="22"/>
                <w:szCs w:val="22"/>
                <w:lang w:val="ro-RO"/>
              </w:rPr>
              <w:t xml:space="preserve">C+M    </w:t>
            </w:r>
          </w:p>
        </w:tc>
        <w:tc>
          <w:tcPr>
            <w:tcW w:w="1134" w:type="dxa"/>
          </w:tcPr>
          <w:p w14:paraId="13D2DEFB" w14:textId="77777777" w:rsidR="009F5F9B" w:rsidRPr="009F5F9B" w:rsidRDefault="009F5F9B" w:rsidP="00B92E5F">
            <w:pPr>
              <w:pStyle w:val="NoSpacing"/>
              <w:jc w:val="both"/>
              <w:rPr>
                <w:bCs/>
                <w:iCs/>
                <w:sz w:val="22"/>
                <w:szCs w:val="22"/>
                <w:lang w:val="ro-RO"/>
              </w:rPr>
            </w:pPr>
          </w:p>
        </w:tc>
        <w:tc>
          <w:tcPr>
            <w:tcW w:w="2126" w:type="dxa"/>
          </w:tcPr>
          <w:p w14:paraId="1BC0FEAE" w14:textId="77777777" w:rsidR="009F5F9B" w:rsidRPr="009F5F9B" w:rsidRDefault="009F5F9B" w:rsidP="00B92E5F">
            <w:pPr>
              <w:pStyle w:val="NoSpacing"/>
              <w:jc w:val="right"/>
              <w:rPr>
                <w:bCs/>
                <w:iCs/>
                <w:sz w:val="22"/>
                <w:szCs w:val="22"/>
                <w:lang w:val="ro-RO"/>
              </w:rPr>
            </w:pPr>
            <w:r w:rsidRPr="009F5F9B">
              <w:rPr>
                <w:bCs/>
                <w:iCs/>
                <w:sz w:val="22"/>
                <w:szCs w:val="22"/>
                <w:lang w:val="ro-RO"/>
              </w:rPr>
              <w:t>4.209.775,27 lei</w:t>
            </w:r>
          </w:p>
        </w:tc>
        <w:tc>
          <w:tcPr>
            <w:tcW w:w="1701" w:type="dxa"/>
          </w:tcPr>
          <w:p w14:paraId="55F7153A" w14:textId="77777777" w:rsidR="009F5F9B" w:rsidRPr="009F5F9B" w:rsidRDefault="009F5F9B" w:rsidP="00B92E5F">
            <w:pPr>
              <w:pStyle w:val="NoSpacing"/>
              <w:jc w:val="both"/>
              <w:rPr>
                <w:bCs/>
                <w:iCs/>
                <w:sz w:val="22"/>
                <w:szCs w:val="22"/>
                <w:lang w:val="ro-RO"/>
              </w:rPr>
            </w:pPr>
            <w:r w:rsidRPr="009F5F9B">
              <w:rPr>
                <w:bCs/>
                <w:iCs/>
                <w:sz w:val="22"/>
                <w:szCs w:val="22"/>
                <w:lang w:val="ro-RO"/>
              </w:rPr>
              <w:t xml:space="preserve">   </w:t>
            </w:r>
          </w:p>
        </w:tc>
        <w:tc>
          <w:tcPr>
            <w:tcW w:w="2127" w:type="dxa"/>
          </w:tcPr>
          <w:p w14:paraId="02F63EDF" w14:textId="77777777" w:rsidR="009F5F9B" w:rsidRPr="009F5F9B" w:rsidRDefault="009F5F9B" w:rsidP="00B92E5F">
            <w:pPr>
              <w:pStyle w:val="NoSpacing"/>
              <w:jc w:val="right"/>
              <w:rPr>
                <w:bCs/>
                <w:iCs/>
                <w:sz w:val="22"/>
                <w:szCs w:val="22"/>
                <w:lang w:val="ro-RO"/>
              </w:rPr>
            </w:pPr>
            <w:r w:rsidRPr="009F5F9B">
              <w:rPr>
                <w:bCs/>
                <w:iCs/>
                <w:sz w:val="22"/>
                <w:szCs w:val="22"/>
                <w:lang w:val="ro-RO"/>
              </w:rPr>
              <w:t xml:space="preserve">210.488.763,66 lei </w:t>
            </w:r>
          </w:p>
        </w:tc>
      </w:tr>
      <w:tr w:rsidR="009F5F9B" w:rsidRPr="009F5F9B" w14:paraId="76949A16" w14:textId="77777777" w:rsidTr="006A0360">
        <w:tc>
          <w:tcPr>
            <w:tcW w:w="817" w:type="dxa"/>
          </w:tcPr>
          <w:p w14:paraId="32F5B228" w14:textId="77777777" w:rsidR="009F5F9B" w:rsidRPr="009F5F9B" w:rsidRDefault="009F5F9B" w:rsidP="00B92E5F">
            <w:pPr>
              <w:pStyle w:val="NoSpacing"/>
              <w:ind w:hanging="105"/>
              <w:jc w:val="both"/>
              <w:rPr>
                <w:bCs/>
                <w:iCs/>
                <w:sz w:val="22"/>
                <w:szCs w:val="22"/>
                <w:lang w:val="ro-RO"/>
              </w:rPr>
            </w:pPr>
          </w:p>
        </w:tc>
        <w:tc>
          <w:tcPr>
            <w:tcW w:w="1134" w:type="dxa"/>
          </w:tcPr>
          <w:p w14:paraId="16C07975" w14:textId="77777777" w:rsidR="009F5F9B" w:rsidRPr="009F5F9B" w:rsidRDefault="009F5F9B" w:rsidP="00B92E5F">
            <w:pPr>
              <w:pStyle w:val="NoSpacing"/>
              <w:jc w:val="both"/>
              <w:rPr>
                <w:bCs/>
                <w:iCs/>
                <w:sz w:val="22"/>
                <w:szCs w:val="22"/>
                <w:lang w:val="ro-RO"/>
              </w:rPr>
            </w:pPr>
          </w:p>
        </w:tc>
        <w:tc>
          <w:tcPr>
            <w:tcW w:w="2126" w:type="dxa"/>
          </w:tcPr>
          <w:p w14:paraId="71003792" w14:textId="77777777" w:rsidR="009F5F9B" w:rsidRPr="009F5F9B" w:rsidRDefault="009F5F9B" w:rsidP="00B92E5F">
            <w:pPr>
              <w:pStyle w:val="NoSpacing"/>
              <w:jc w:val="right"/>
              <w:rPr>
                <w:bCs/>
                <w:iCs/>
                <w:sz w:val="22"/>
                <w:szCs w:val="22"/>
                <w:lang w:val="ro-RO"/>
              </w:rPr>
            </w:pPr>
          </w:p>
        </w:tc>
        <w:tc>
          <w:tcPr>
            <w:tcW w:w="1701" w:type="dxa"/>
          </w:tcPr>
          <w:p w14:paraId="3060D37A" w14:textId="77777777" w:rsidR="009F5F9B" w:rsidRPr="009F5F9B" w:rsidRDefault="009F5F9B" w:rsidP="00B92E5F">
            <w:pPr>
              <w:pStyle w:val="NoSpacing"/>
              <w:jc w:val="both"/>
              <w:rPr>
                <w:bCs/>
                <w:iCs/>
                <w:sz w:val="22"/>
                <w:szCs w:val="22"/>
                <w:lang w:val="ro-RO"/>
              </w:rPr>
            </w:pPr>
          </w:p>
        </w:tc>
        <w:tc>
          <w:tcPr>
            <w:tcW w:w="2127" w:type="dxa"/>
          </w:tcPr>
          <w:p w14:paraId="0D9DB77B" w14:textId="77777777" w:rsidR="009F5F9B" w:rsidRPr="009F5F9B" w:rsidRDefault="009F5F9B" w:rsidP="00B92E5F">
            <w:pPr>
              <w:pStyle w:val="NoSpacing"/>
              <w:jc w:val="right"/>
              <w:rPr>
                <w:bCs/>
                <w:iCs/>
                <w:sz w:val="22"/>
                <w:szCs w:val="22"/>
                <w:lang w:val="ro-RO"/>
              </w:rPr>
            </w:pPr>
          </w:p>
        </w:tc>
      </w:tr>
      <w:tr w:rsidR="009F5F9B" w:rsidRPr="009F5F9B" w14:paraId="048DA068" w14:textId="77777777" w:rsidTr="006A0360">
        <w:tc>
          <w:tcPr>
            <w:tcW w:w="817" w:type="dxa"/>
          </w:tcPr>
          <w:p w14:paraId="3DE824DF" w14:textId="77777777" w:rsidR="009F5F9B" w:rsidRPr="009F5F9B" w:rsidRDefault="009F5F9B" w:rsidP="00B92E5F">
            <w:pPr>
              <w:pStyle w:val="NoSpacing"/>
              <w:ind w:hanging="105"/>
              <w:jc w:val="both"/>
              <w:rPr>
                <w:bCs/>
                <w:iCs/>
                <w:sz w:val="22"/>
                <w:szCs w:val="22"/>
                <w:lang w:val="ro-RO"/>
              </w:rPr>
            </w:pPr>
            <w:r w:rsidRPr="009F5F9B">
              <w:rPr>
                <w:bCs/>
                <w:iCs/>
                <w:sz w:val="22"/>
                <w:szCs w:val="22"/>
                <w:lang w:val="ro-RO"/>
              </w:rPr>
              <w:t xml:space="preserve">INV </w:t>
            </w:r>
          </w:p>
          <w:p w14:paraId="0DDB41A0" w14:textId="77777777" w:rsidR="009F5F9B" w:rsidRPr="009F5F9B" w:rsidRDefault="009F5F9B" w:rsidP="00B92E5F">
            <w:pPr>
              <w:pStyle w:val="NoSpacing"/>
              <w:ind w:hanging="105"/>
              <w:jc w:val="both"/>
              <w:rPr>
                <w:bCs/>
                <w:iCs/>
                <w:sz w:val="22"/>
                <w:szCs w:val="22"/>
                <w:lang w:val="ro-RO"/>
              </w:rPr>
            </w:pPr>
            <w:r w:rsidRPr="009F5F9B">
              <w:rPr>
                <w:bCs/>
                <w:iCs/>
                <w:sz w:val="22"/>
                <w:szCs w:val="22"/>
                <w:lang w:val="ro-RO"/>
              </w:rPr>
              <w:t>C+M</w:t>
            </w:r>
          </w:p>
          <w:p w14:paraId="2F715CF6" w14:textId="77777777" w:rsidR="009F5F9B" w:rsidRPr="009F5F9B" w:rsidRDefault="009F5F9B" w:rsidP="00B92E5F">
            <w:pPr>
              <w:pStyle w:val="NoSpacing"/>
              <w:ind w:hanging="105"/>
              <w:jc w:val="both"/>
              <w:rPr>
                <w:bCs/>
                <w:iCs/>
                <w:sz w:val="22"/>
                <w:szCs w:val="22"/>
                <w:lang w:val="ro-RO"/>
              </w:rPr>
            </w:pPr>
          </w:p>
        </w:tc>
        <w:tc>
          <w:tcPr>
            <w:tcW w:w="1134" w:type="dxa"/>
          </w:tcPr>
          <w:p w14:paraId="2B0807EF" w14:textId="77777777" w:rsidR="009F5F9B" w:rsidRPr="009F5F9B" w:rsidRDefault="009F5F9B" w:rsidP="00B92E5F">
            <w:pPr>
              <w:spacing w:line="240" w:lineRule="auto"/>
              <w:rPr>
                <w:rFonts w:ascii="Times New Roman" w:hAnsi="Times New Roman" w:cs="Times New Roman"/>
                <w:lang w:val="ro-RO" w:eastAsia="en-GB"/>
              </w:rPr>
            </w:pPr>
            <w:r w:rsidRPr="009F5F9B">
              <w:rPr>
                <w:rFonts w:ascii="Times New Roman" w:hAnsi="Times New Roman" w:cs="Times New Roman"/>
                <w:bCs/>
                <w:iCs/>
                <w:lang w:val="ro-RO"/>
              </w:rPr>
              <w:t xml:space="preserve">ANUL III          </w:t>
            </w:r>
          </w:p>
        </w:tc>
        <w:tc>
          <w:tcPr>
            <w:tcW w:w="2126" w:type="dxa"/>
          </w:tcPr>
          <w:p w14:paraId="6E2528FF" w14:textId="77777777" w:rsidR="009F5F9B" w:rsidRPr="009F5F9B" w:rsidRDefault="009F5F9B" w:rsidP="00B92E5F">
            <w:pPr>
              <w:pStyle w:val="NoSpacing"/>
              <w:jc w:val="right"/>
              <w:rPr>
                <w:bCs/>
                <w:iCs/>
                <w:sz w:val="22"/>
                <w:szCs w:val="22"/>
                <w:lang w:val="ro-RO"/>
              </w:rPr>
            </w:pPr>
            <w:r w:rsidRPr="009F5F9B">
              <w:rPr>
                <w:bCs/>
                <w:iCs/>
                <w:sz w:val="22"/>
                <w:szCs w:val="22"/>
                <w:lang w:val="ro-RO"/>
              </w:rPr>
              <w:t>1.482.899.402,01 lei</w:t>
            </w:r>
          </w:p>
          <w:p w14:paraId="22A2C24A" w14:textId="77777777" w:rsidR="009F5F9B" w:rsidRPr="009F5F9B" w:rsidRDefault="009F5F9B" w:rsidP="00B92E5F">
            <w:pPr>
              <w:spacing w:line="240" w:lineRule="auto"/>
              <w:rPr>
                <w:rFonts w:ascii="Times New Roman" w:hAnsi="Times New Roman" w:cs="Times New Roman"/>
                <w:lang w:val="ro-RO" w:eastAsia="en-GB"/>
              </w:rPr>
            </w:pPr>
            <w:r w:rsidRPr="009F5F9B">
              <w:rPr>
                <w:rFonts w:ascii="Times New Roman" w:hAnsi="Times New Roman" w:cs="Times New Roman"/>
                <w:lang w:val="ro-RO"/>
              </w:rPr>
              <w:t>1.052.443.818,30 lei</w:t>
            </w:r>
          </w:p>
        </w:tc>
        <w:tc>
          <w:tcPr>
            <w:tcW w:w="1701" w:type="dxa"/>
          </w:tcPr>
          <w:p w14:paraId="590449E7" w14:textId="77777777" w:rsidR="009F5F9B" w:rsidRPr="009F5F9B" w:rsidRDefault="009F5F9B" w:rsidP="00B92E5F">
            <w:pPr>
              <w:pStyle w:val="NoSpacing"/>
              <w:jc w:val="center"/>
              <w:rPr>
                <w:bCs/>
                <w:iCs/>
                <w:sz w:val="22"/>
                <w:szCs w:val="22"/>
                <w:lang w:val="ro-RO"/>
              </w:rPr>
            </w:pPr>
            <w:r w:rsidRPr="009F5F9B">
              <w:rPr>
                <w:bCs/>
                <w:iCs/>
                <w:sz w:val="22"/>
                <w:szCs w:val="22"/>
                <w:lang w:val="ro-RO"/>
              </w:rPr>
              <w:t xml:space="preserve">          ANUL IV</w:t>
            </w:r>
          </w:p>
        </w:tc>
        <w:tc>
          <w:tcPr>
            <w:tcW w:w="2127" w:type="dxa"/>
          </w:tcPr>
          <w:p w14:paraId="14940587" w14:textId="77777777" w:rsidR="009F5F9B" w:rsidRPr="009F5F9B" w:rsidRDefault="009F5F9B" w:rsidP="00B92E5F">
            <w:pPr>
              <w:pStyle w:val="NoSpacing"/>
              <w:jc w:val="right"/>
              <w:rPr>
                <w:bCs/>
                <w:iCs/>
                <w:sz w:val="22"/>
                <w:szCs w:val="22"/>
                <w:lang w:val="ro-RO"/>
              </w:rPr>
            </w:pPr>
            <w:r w:rsidRPr="009F5F9B">
              <w:rPr>
                <w:bCs/>
                <w:iCs/>
                <w:sz w:val="22"/>
                <w:szCs w:val="22"/>
                <w:lang w:val="ro-RO"/>
              </w:rPr>
              <w:t>4.146.186.736,73 lei</w:t>
            </w:r>
          </w:p>
          <w:p w14:paraId="0DA4C105" w14:textId="77777777" w:rsidR="009F5F9B" w:rsidRPr="009F5F9B" w:rsidRDefault="009F5F9B" w:rsidP="00B92E5F">
            <w:pPr>
              <w:spacing w:line="240" w:lineRule="auto"/>
              <w:rPr>
                <w:rFonts w:ascii="Times New Roman" w:hAnsi="Times New Roman" w:cs="Times New Roman"/>
                <w:lang w:val="ro-RO" w:eastAsia="en-GB"/>
              </w:rPr>
            </w:pPr>
            <w:r w:rsidRPr="009F5F9B">
              <w:rPr>
                <w:rFonts w:ascii="Times New Roman" w:hAnsi="Times New Roman" w:cs="Times New Roman"/>
                <w:lang w:val="ro-RO"/>
              </w:rPr>
              <w:t xml:space="preserve"> 2.942.632.915,95 lei</w:t>
            </w:r>
          </w:p>
        </w:tc>
      </w:tr>
    </w:tbl>
    <w:p w14:paraId="289A2541" w14:textId="77777777" w:rsidR="009F5F9B" w:rsidRPr="009F5F9B" w:rsidRDefault="009F5F9B" w:rsidP="00B92E5F">
      <w:pPr>
        <w:spacing w:line="240" w:lineRule="auto"/>
        <w:jc w:val="both"/>
        <w:rPr>
          <w:rFonts w:ascii="Times New Roman" w:hAnsi="Times New Roman" w:cs="Times New Roman"/>
          <w:b/>
          <w:bCs/>
          <w:iCs/>
          <w:lang w:val="ro-RO"/>
        </w:rPr>
      </w:pPr>
      <w:r w:rsidRPr="009F5F9B">
        <w:rPr>
          <w:rFonts w:ascii="Times New Roman" w:hAnsi="Times New Roman" w:cs="Times New Roman"/>
          <w:b/>
          <w:bCs/>
          <w:iCs/>
          <w:lang w:val="ro-RO"/>
        </w:rPr>
        <w:t>Capacități:</w:t>
      </w:r>
    </w:p>
    <w:p w14:paraId="3C9400A9" w14:textId="77777777" w:rsidR="009F5F9B" w:rsidRPr="009F5F9B" w:rsidRDefault="009F5F9B" w:rsidP="00B92E5F">
      <w:pPr>
        <w:spacing w:line="240" w:lineRule="auto"/>
        <w:jc w:val="both"/>
        <w:rPr>
          <w:rFonts w:ascii="Times New Roman" w:hAnsi="Times New Roman" w:cs="Times New Roman"/>
          <w:bCs/>
          <w:iCs/>
          <w:lang w:val="ro-RO"/>
        </w:rPr>
      </w:pPr>
      <w:r w:rsidRPr="009F5F9B">
        <w:rPr>
          <w:rFonts w:ascii="Times New Roman" w:hAnsi="Times New Roman" w:cs="Times New Roman"/>
          <w:bCs/>
          <w:iCs/>
          <w:lang w:val="ro-RO"/>
        </w:rPr>
        <w:t>Lungime drum expres: 59,177 km</w:t>
      </w:r>
    </w:p>
    <w:p w14:paraId="14EA2944" w14:textId="77777777" w:rsidR="009F5F9B" w:rsidRPr="009F5F9B" w:rsidRDefault="009F5F9B" w:rsidP="00B92E5F">
      <w:pPr>
        <w:spacing w:line="240" w:lineRule="auto"/>
        <w:jc w:val="both"/>
        <w:rPr>
          <w:rFonts w:ascii="Times New Roman" w:hAnsi="Times New Roman" w:cs="Times New Roman"/>
          <w:bCs/>
          <w:iCs/>
          <w:lang w:val="ro-RO"/>
        </w:rPr>
      </w:pPr>
      <w:r w:rsidRPr="009F5F9B">
        <w:rPr>
          <w:rFonts w:ascii="Times New Roman" w:hAnsi="Times New Roman" w:cs="Times New Roman"/>
          <w:bCs/>
          <w:iCs/>
          <w:lang w:val="ro-RO"/>
        </w:rPr>
        <w:t xml:space="preserve">Lățime platformă drum expres: 21,50 m </w:t>
      </w:r>
    </w:p>
    <w:p w14:paraId="763DCF52" w14:textId="77777777" w:rsidR="009F5F9B" w:rsidRPr="009F5F9B" w:rsidRDefault="009F5F9B" w:rsidP="00B92E5F">
      <w:pPr>
        <w:spacing w:line="240" w:lineRule="auto"/>
        <w:jc w:val="both"/>
        <w:rPr>
          <w:rFonts w:ascii="Times New Roman" w:hAnsi="Times New Roman" w:cs="Times New Roman"/>
          <w:bCs/>
          <w:iCs/>
          <w:lang w:val="ro-RO"/>
        </w:rPr>
      </w:pPr>
      <w:r w:rsidRPr="009F5F9B">
        <w:rPr>
          <w:rFonts w:ascii="Times New Roman" w:hAnsi="Times New Roman" w:cs="Times New Roman"/>
          <w:bCs/>
          <w:iCs/>
          <w:lang w:val="ro-RO"/>
        </w:rPr>
        <w:t>Lățime parte carosabilă drum expres: 14,00 m</w:t>
      </w:r>
    </w:p>
    <w:p w14:paraId="3C4770C7" w14:textId="77777777" w:rsidR="009F5F9B" w:rsidRPr="009F5F9B" w:rsidRDefault="009F5F9B" w:rsidP="00B92E5F">
      <w:pPr>
        <w:spacing w:line="240" w:lineRule="auto"/>
        <w:jc w:val="both"/>
        <w:rPr>
          <w:rFonts w:ascii="Times New Roman" w:hAnsi="Times New Roman" w:cs="Times New Roman"/>
          <w:bCs/>
          <w:iCs/>
          <w:lang w:val="ro-RO"/>
        </w:rPr>
      </w:pPr>
      <w:r w:rsidRPr="009F5F9B">
        <w:rPr>
          <w:rFonts w:ascii="Times New Roman" w:hAnsi="Times New Roman" w:cs="Times New Roman"/>
          <w:bCs/>
          <w:iCs/>
          <w:lang w:val="ro-RO"/>
        </w:rPr>
        <w:t>Poduri/Pasaje/Viaducte: 35  pasaje și 18 poduri</w:t>
      </w:r>
    </w:p>
    <w:p w14:paraId="71E9CA1F" w14:textId="77777777" w:rsidR="009F5F9B" w:rsidRPr="009F5F9B" w:rsidRDefault="009F5F9B" w:rsidP="00B92E5F">
      <w:pPr>
        <w:pStyle w:val="NoSpacing"/>
        <w:ind w:firstLine="567"/>
        <w:jc w:val="both"/>
        <w:rPr>
          <w:bCs/>
          <w:iCs/>
          <w:sz w:val="22"/>
          <w:szCs w:val="22"/>
          <w:lang w:val="ro-RO"/>
        </w:rPr>
      </w:pPr>
      <w:r w:rsidRPr="009F5F9B">
        <w:rPr>
          <w:b/>
          <w:bCs/>
          <w:iCs/>
          <w:sz w:val="22"/>
          <w:szCs w:val="22"/>
          <w:lang w:val="ro-RO"/>
        </w:rPr>
        <w:t>Factori de risc:</w:t>
      </w:r>
    </w:p>
    <w:p w14:paraId="30FC0B83" w14:textId="77777777" w:rsidR="009F5F9B" w:rsidRPr="009F5F9B" w:rsidRDefault="009F5F9B" w:rsidP="00B92E5F">
      <w:pPr>
        <w:pStyle w:val="NoSpacing"/>
        <w:ind w:firstLine="567"/>
        <w:jc w:val="both"/>
        <w:rPr>
          <w:bCs/>
          <w:iCs/>
          <w:sz w:val="22"/>
          <w:szCs w:val="22"/>
          <w:lang w:val="ro-RO"/>
        </w:rPr>
      </w:pPr>
      <w:r w:rsidRPr="009F5F9B">
        <w:rPr>
          <w:bCs/>
          <w:iCs/>
          <w:sz w:val="22"/>
          <w:szCs w:val="22"/>
          <w:lang w:val="ro-RO"/>
        </w:rPr>
        <w:t>Obiectivul se va proteja antiseismic conform prevederilor Normativului "Cod de proiectare seismică" P 100-1/2013.</w:t>
      </w:r>
    </w:p>
    <w:p w14:paraId="04DF7A47" w14:textId="77777777" w:rsidR="009F5F9B" w:rsidRPr="009F5F9B" w:rsidRDefault="009F5F9B" w:rsidP="00B92E5F">
      <w:pPr>
        <w:pStyle w:val="NoSpacing"/>
        <w:ind w:firstLine="567"/>
        <w:jc w:val="both"/>
        <w:rPr>
          <w:bCs/>
          <w:iCs/>
          <w:sz w:val="22"/>
          <w:szCs w:val="22"/>
          <w:lang w:val="ro-RO"/>
        </w:rPr>
      </w:pPr>
      <w:r w:rsidRPr="009F5F9B">
        <w:rPr>
          <w:b/>
          <w:iCs/>
          <w:sz w:val="22"/>
          <w:szCs w:val="22"/>
          <w:lang w:val="ro-RO"/>
        </w:rPr>
        <w:t>Finanţarea investiţiei</w:t>
      </w:r>
      <w:r w:rsidRPr="009F5F9B">
        <w:rPr>
          <w:bCs/>
          <w:iCs/>
          <w:sz w:val="22"/>
          <w:szCs w:val="22"/>
          <w:lang w:val="ro-RO"/>
        </w:rPr>
        <w:t>:</w:t>
      </w:r>
    </w:p>
    <w:p w14:paraId="4914A146" w14:textId="197F8835" w:rsidR="00541B09" w:rsidRPr="001A2761" w:rsidRDefault="009F5F9B" w:rsidP="001A2761">
      <w:pPr>
        <w:pStyle w:val="NoSpacing"/>
        <w:ind w:firstLine="567"/>
        <w:jc w:val="both"/>
        <w:rPr>
          <w:bCs/>
          <w:iCs/>
          <w:sz w:val="22"/>
          <w:szCs w:val="22"/>
          <w:lang w:val="ro-RO"/>
        </w:rPr>
      </w:pPr>
      <w:r w:rsidRPr="009F5F9B">
        <w:rPr>
          <w:bCs/>
          <w:iCs/>
          <w:sz w:val="22"/>
          <w:szCs w:val="22"/>
          <w:lang w:val="ro-RO"/>
        </w:rPr>
        <w:t>Finanţarea obiectivului de investiţii este preconizată a se realizează din fonduri externe nerambursabile – Programul Transport (P.T. 2021 – 2027) şi de la Bugetul de stat, prin bugetul Ministerului Transporturilor și Infrastructurii, în limita sumelor aprobate anual cu această destinaţie, precum şi din alte surse legal constituite, conform programelor de investiţii publice aprobate potrivit legii.</w:t>
      </w:r>
      <w:bookmarkEnd w:id="0"/>
      <w:bookmarkEnd w:id="1"/>
    </w:p>
    <w:p w14:paraId="30382693" w14:textId="77777777" w:rsidR="00CC0E0F" w:rsidRDefault="00541B09" w:rsidP="001A2761">
      <w:pPr>
        <w:shd w:val="clear" w:color="auto" w:fill="FFFFFF"/>
        <w:spacing w:line="240" w:lineRule="auto"/>
        <w:ind w:right="29"/>
        <w:jc w:val="both"/>
        <w:rPr>
          <w:rFonts w:ascii="Times New Roman" w:hAnsi="Times New Roman" w:cs="Times New Roman"/>
          <w:lang w:val="ro-RO"/>
        </w:rPr>
      </w:pPr>
      <w:r w:rsidRPr="008528D8">
        <w:rPr>
          <w:rFonts w:ascii="Times New Roman" w:hAnsi="Times New Roman" w:cs="Times New Roman"/>
          <w:sz w:val="24"/>
          <w:szCs w:val="24"/>
        </w:rPr>
        <w:t xml:space="preserve">          </w:t>
      </w:r>
      <w:r w:rsidR="00A50068" w:rsidRPr="009F5F9B">
        <w:rPr>
          <w:rFonts w:ascii="Times New Roman" w:hAnsi="Times New Roman" w:cs="Times New Roman"/>
          <w:lang w:val="ro-RO"/>
        </w:rPr>
        <w:t>raportat la</w:t>
      </w:r>
      <w:r w:rsidR="00A50068" w:rsidRPr="009F5F9B">
        <w:rPr>
          <w:rFonts w:ascii="Times New Roman" w:hAnsi="Times New Roman" w:cs="Times New Roman"/>
          <w:b/>
          <w:lang w:val="ro-RO"/>
        </w:rPr>
        <w:t xml:space="preserve"> </w:t>
      </w:r>
      <w:r w:rsidR="00A50068" w:rsidRPr="009F5F9B">
        <w:rPr>
          <w:rFonts w:ascii="Times New Roman" w:hAnsi="Times New Roman" w:cs="Times New Roman"/>
          <w:lang w:val="ro-RO"/>
        </w:rPr>
        <w:t>prevederile art. 44 alin.(1) din Legea nr. 273/2006 privind finanţele publice locale, cu modificările şi completările ulterioare</w:t>
      </w:r>
    </w:p>
    <w:p w14:paraId="377BD492" w14:textId="020C62D5" w:rsidR="00541B09" w:rsidRPr="009F5F9B" w:rsidRDefault="00541B09" w:rsidP="00CC0E0F">
      <w:pPr>
        <w:shd w:val="clear" w:color="auto" w:fill="FFFFFF"/>
        <w:spacing w:line="240" w:lineRule="auto"/>
        <w:ind w:right="29" w:firstLine="720"/>
        <w:jc w:val="both"/>
        <w:rPr>
          <w:rFonts w:ascii="Times New Roman" w:hAnsi="Times New Roman" w:cs="Times New Roman"/>
          <w:lang w:val="ro-RO"/>
        </w:rPr>
      </w:pPr>
      <w:r w:rsidRPr="009F5F9B">
        <w:rPr>
          <w:rFonts w:ascii="Times New Roman" w:hAnsi="Times New Roman" w:cs="Times New Roman"/>
          <w:lang w:val="ro-RO"/>
        </w:rPr>
        <w:t>în temeiul prevederilor  art.182 alin (2) și alin.(4) cu trimitere la art. 136 alineatele (1) și (2) din Ordonanța de Urgență a Guvernului nr. 57/2019 privind Codul administrativ, cu modificările și completările ulterioare,</w:t>
      </w:r>
    </w:p>
    <w:p w14:paraId="2496AC39" w14:textId="77777777" w:rsidR="00541B09" w:rsidRPr="009F5F9B" w:rsidRDefault="00541B09" w:rsidP="00541B09">
      <w:pPr>
        <w:spacing w:line="240" w:lineRule="auto"/>
        <w:contextualSpacing/>
        <w:rPr>
          <w:rFonts w:ascii="Times New Roman" w:hAnsi="Times New Roman" w:cs="Times New Roman"/>
          <w:b/>
          <w:bCs/>
          <w:lang w:val="ro-RO"/>
        </w:rPr>
      </w:pPr>
    </w:p>
    <w:p w14:paraId="4359CF9D" w14:textId="77777777" w:rsidR="00541B09" w:rsidRPr="009F5F9B" w:rsidRDefault="00541B09" w:rsidP="00541B09">
      <w:pPr>
        <w:spacing w:line="240" w:lineRule="auto"/>
        <w:contextualSpacing/>
        <w:rPr>
          <w:rFonts w:ascii="Times New Roman" w:hAnsi="Times New Roman" w:cs="Times New Roman"/>
          <w:b/>
          <w:bCs/>
          <w:lang w:val="ro-RO"/>
        </w:rPr>
      </w:pPr>
      <w:r w:rsidRPr="009F5F9B">
        <w:rPr>
          <w:rFonts w:ascii="Times New Roman" w:hAnsi="Times New Roman" w:cs="Times New Roman"/>
          <w:b/>
          <w:bCs/>
          <w:lang w:val="ro-RO"/>
        </w:rPr>
        <w:t xml:space="preserve">                                                                     INIŢIEZ:</w:t>
      </w:r>
    </w:p>
    <w:p w14:paraId="38780C7D" w14:textId="77777777" w:rsidR="00A3646D" w:rsidRPr="009F5F9B" w:rsidRDefault="00541B09" w:rsidP="00A3646D">
      <w:pPr>
        <w:spacing w:after="0" w:line="240" w:lineRule="auto"/>
        <w:jc w:val="center"/>
        <w:rPr>
          <w:rFonts w:ascii="Times New Roman" w:eastAsia="Times New Roman" w:hAnsi="Times New Roman" w:cs="Times New Roman"/>
          <w:b/>
          <w:iCs/>
          <w:lang w:val="ro-RO"/>
        </w:rPr>
      </w:pPr>
      <w:r w:rsidRPr="009F5F9B">
        <w:rPr>
          <w:rFonts w:ascii="Times New Roman" w:hAnsi="Times New Roman" w:cs="Times New Roman"/>
          <w:b/>
          <w:lang w:val="ro-RO"/>
        </w:rPr>
        <w:t xml:space="preserve">Proiectul de hotărâre </w:t>
      </w:r>
      <w:r w:rsidR="00A3646D" w:rsidRPr="009F5F9B">
        <w:rPr>
          <w:rFonts w:ascii="Times New Roman" w:eastAsia="Times New Roman" w:hAnsi="Times New Roman" w:cs="Times New Roman"/>
          <w:b/>
          <w:iCs/>
          <w:lang w:val="ro-RO"/>
        </w:rPr>
        <w:t xml:space="preserve">privind  aprobarea Studiului de fezabilitate, a Indicatorilor tehnico-economici și a Devizului general pentru obiectivul de investiții </w:t>
      </w:r>
    </w:p>
    <w:p w14:paraId="677E89C2" w14:textId="7083F3CB" w:rsidR="00541B09" w:rsidRPr="009F5F9B" w:rsidRDefault="00A3646D" w:rsidP="00A3646D">
      <w:pPr>
        <w:spacing w:line="240" w:lineRule="auto"/>
        <w:ind w:firstLine="720"/>
        <w:contextualSpacing/>
        <w:jc w:val="center"/>
        <w:rPr>
          <w:rFonts w:ascii="Times New Roman" w:hAnsi="Times New Roman" w:cs="Times New Roman"/>
          <w:b/>
          <w:bCs/>
          <w:color w:val="000000" w:themeColor="text1"/>
        </w:rPr>
      </w:pPr>
      <w:r w:rsidRPr="009F5F9B">
        <w:rPr>
          <w:rFonts w:ascii="Times New Roman" w:eastAsia="Times New Roman" w:hAnsi="Times New Roman" w:cs="Times New Roman"/>
          <w:b/>
          <w:bCs/>
          <w:iCs/>
          <w:lang w:val="ro-RO"/>
        </w:rPr>
        <w:t>„DRUM EXPRES PETEA-SATU MARE-BAIA MARE, SECTOR SATU MARE-BAIA MARE”</w:t>
      </w:r>
    </w:p>
    <w:p w14:paraId="7C77BB81" w14:textId="77777777" w:rsidR="00541B09" w:rsidRPr="009F5F9B" w:rsidRDefault="00541B09" w:rsidP="00541B09">
      <w:pPr>
        <w:spacing w:line="240" w:lineRule="auto"/>
        <w:ind w:firstLine="720"/>
        <w:contextualSpacing/>
        <w:jc w:val="center"/>
        <w:rPr>
          <w:rFonts w:ascii="Times New Roman" w:hAnsi="Times New Roman" w:cs="Times New Roman"/>
          <w:b/>
          <w:bCs/>
          <w:color w:val="000000" w:themeColor="text1"/>
        </w:rPr>
      </w:pPr>
    </w:p>
    <w:p w14:paraId="795E557F" w14:textId="77777777" w:rsidR="00541B09" w:rsidRPr="009F5F9B" w:rsidRDefault="00541B09" w:rsidP="00541B09">
      <w:pPr>
        <w:pStyle w:val="BodyText"/>
        <w:rPr>
          <w:sz w:val="22"/>
          <w:szCs w:val="22"/>
        </w:rPr>
      </w:pPr>
      <w:r w:rsidRPr="009F5F9B">
        <w:rPr>
          <w:sz w:val="22"/>
          <w:szCs w:val="22"/>
        </w:rPr>
        <w:t>INIŢIATOR:</w:t>
      </w:r>
    </w:p>
    <w:p w14:paraId="3302E6CB" w14:textId="77777777" w:rsidR="00541B09" w:rsidRPr="009F5F9B" w:rsidRDefault="00541B09" w:rsidP="00541B09">
      <w:pPr>
        <w:pStyle w:val="BodyText"/>
        <w:rPr>
          <w:sz w:val="22"/>
          <w:szCs w:val="22"/>
        </w:rPr>
      </w:pPr>
    </w:p>
    <w:p w14:paraId="115CC4C1" w14:textId="37ABC46B" w:rsidR="00541B09" w:rsidRPr="009F5F9B" w:rsidRDefault="00541B09" w:rsidP="00541B09">
      <w:pPr>
        <w:pStyle w:val="BodyText"/>
        <w:rPr>
          <w:sz w:val="22"/>
          <w:szCs w:val="22"/>
        </w:rPr>
      </w:pPr>
      <w:r w:rsidRPr="009F5F9B">
        <w:rPr>
          <w:sz w:val="22"/>
          <w:szCs w:val="22"/>
        </w:rPr>
        <w:t>PREŞEDINTE,</w:t>
      </w:r>
    </w:p>
    <w:p w14:paraId="2EF4CCC6" w14:textId="2F601D51" w:rsidR="00541B09" w:rsidRPr="009F5F9B" w:rsidRDefault="00541B09" w:rsidP="00541B09">
      <w:pPr>
        <w:ind w:firstLine="720"/>
        <w:jc w:val="both"/>
        <w:rPr>
          <w:rFonts w:ascii="Times New Roman" w:hAnsi="Times New Roman" w:cs="Times New Roman"/>
          <w:bCs/>
        </w:rPr>
      </w:pPr>
      <w:r w:rsidRPr="009F5F9B">
        <w:rPr>
          <w:rFonts w:ascii="Times New Roman" w:hAnsi="Times New Roman" w:cs="Times New Roman"/>
          <w:b/>
          <w:bCs/>
        </w:rPr>
        <w:tab/>
      </w:r>
      <w:r w:rsidRPr="009F5F9B">
        <w:rPr>
          <w:rFonts w:ascii="Times New Roman" w:hAnsi="Times New Roman" w:cs="Times New Roman"/>
          <w:b/>
          <w:bCs/>
        </w:rPr>
        <w:tab/>
      </w:r>
      <w:r w:rsidRPr="009F5F9B">
        <w:rPr>
          <w:rFonts w:ascii="Times New Roman" w:hAnsi="Times New Roman" w:cs="Times New Roman"/>
          <w:b/>
          <w:bCs/>
        </w:rPr>
        <w:tab/>
      </w:r>
      <w:r w:rsidRPr="009F5F9B">
        <w:rPr>
          <w:rFonts w:ascii="Times New Roman" w:hAnsi="Times New Roman" w:cs="Times New Roman"/>
          <w:b/>
          <w:bCs/>
        </w:rPr>
        <w:tab/>
        <w:t xml:space="preserve"> </w:t>
      </w:r>
      <w:r w:rsidR="005C504A">
        <w:rPr>
          <w:rFonts w:ascii="Times New Roman" w:hAnsi="Times New Roman" w:cs="Times New Roman"/>
          <w:b/>
          <w:bCs/>
        </w:rPr>
        <w:t xml:space="preserve">      Pataki Csaba</w:t>
      </w:r>
    </w:p>
    <w:p w14:paraId="11E68563" w14:textId="77777777" w:rsidR="00541B09" w:rsidRDefault="00541B09" w:rsidP="00541B09">
      <w:pPr>
        <w:spacing w:line="240" w:lineRule="auto"/>
        <w:jc w:val="both"/>
        <w:rPr>
          <w:rFonts w:ascii="Times New Roman" w:hAnsi="Times New Roman" w:cs="Times New Roman"/>
          <w:bCs/>
          <w:sz w:val="24"/>
          <w:szCs w:val="24"/>
        </w:rPr>
      </w:pPr>
    </w:p>
    <w:p w14:paraId="49AA010C" w14:textId="77777777" w:rsidR="00BA3BCD" w:rsidRDefault="00BA3BCD" w:rsidP="00541B09">
      <w:pPr>
        <w:spacing w:line="240" w:lineRule="auto"/>
        <w:jc w:val="both"/>
        <w:rPr>
          <w:rFonts w:ascii="Times New Roman" w:hAnsi="Times New Roman" w:cs="Times New Roman"/>
          <w:bCs/>
          <w:sz w:val="24"/>
          <w:szCs w:val="24"/>
        </w:rPr>
      </w:pPr>
    </w:p>
    <w:p w14:paraId="31E1289E" w14:textId="77777777" w:rsidR="00BA3BCD" w:rsidRPr="008528D8" w:rsidRDefault="00BA3BCD" w:rsidP="00541B09">
      <w:pPr>
        <w:spacing w:line="240" w:lineRule="auto"/>
        <w:jc w:val="both"/>
        <w:rPr>
          <w:rFonts w:ascii="Times New Roman" w:hAnsi="Times New Roman" w:cs="Times New Roman"/>
          <w:bCs/>
          <w:sz w:val="24"/>
          <w:szCs w:val="24"/>
        </w:rPr>
      </w:pPr>
    </w:p>
    <w:p w14:paraId="47C97875" w14:textId="77777777" w:rsidR="00541B09" w:rsidRPr="00E067DA" w:rsidRDefault="00541B09" w:rsidP="00541B09">
      <w:pPr>
        <w:spacing w:line="240" w:lineRule="auto"/>
        <w:jc w:val="both"/>
        <w:rPr>
          <w:rFonts w:ascii="Times New Roman" w:hAnsi="Times New Roman" w:cs="Times New Roman"/>
          <w:bCs/>
          <w:sz w:val="12"/>
          <w:szCs w:val="12"/>
        </w:rPr>
      </w:pPr>
      <w:r w:rsidRPr="00E067DA">
        <w:rPr>
          <w:rFonts w:ascii="Times New Roman" w:hAnsi="Times New Roman" w:cs="Times New Roman"/>
          <w:bCs/>
          <w:sz w:val="12"/>
          <w:szCs w:val="12"/>
        </w:rPr>
        <w:t>Red./Tehn.B.A.</w:t>
      </w:r>
    </w:p>
    <w:p w14:paraId="171EFEC4" w14:textId="77777777" w:rsidR="00541B09" w:rsidRPr="00E067DA" w:rsidRDefault="00541B09" w:rsidP="00541B09">
      <w:pPr>
        <w:spacing w:line="240" w:lineRule="auto"/>
        <w:jc w:val="both"/>
        <w:rPr>
          <w:rFonts w:ascii="Times New Roman" w:hAnsi="Times New Roman" w:cs="Times New Roman"/>
          <w:bCs/>
          <w:sz w:val="12"/>
          <w:szCs w:val="12"/>
        </w:rPr>
      </w:pPr>
      <w:r w:rsidRPr="00E067DA">
        <w:rPr>
          <w:rFonts w:ascii="Times New Roman" w:hAnsi="Times New Roman" w:cs="Times New Roman"/>
          <w:bCs/>
          <w:sz w:val="12"/>
          <w:szCs w:val="12"/>
        </w:rPr>
        <w:t>5 ex</w:t>
      </w:r>
    </w:p>
    <w:p w14:paraId="17FE8C02" w14:textId="77777777" w:rsidR="00D659B3" w:rsidRPr="008528D8" w:rsidRDefault="00D659B3">
      <w:pPr>
        <w:rPr>
          <w:rFonts w:ascii="Times New Roman" w:hAnsi="Times New Roman" w:cs="Times New Roman"/>
          <w:sz w:val="24"/>
          <w:szCs w:val="24"/>
        </w:rPr>
      </w:pPr>
    </w:p>
    <w:sectPr w:rsidR="00D659B3" w:rsidRPr="008528D8" w:rsidSect="005949EC">
      <w:footerReference w:type="default" r:id="rId8"/>
      <w:pgSz w:w="11906" w:h="16838" w:code="9"/>
      <w:pgMar w:top="719" w:right="720" w:bottom="360" w:left="1440" w:header="720" w:footer="720" w:gutter="0"/>
      <w:cols w:space="720" w:equalWidth="0">
        <w:col w:w="936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3A9E70" w14:textId="77777777" w:rsidR="003048F4" w:rsidRDefault="003048F4" w:rsidP="00C05F57">
      <w:pPr>
        <w:spacing w:after="0" w:line="240" w:lineRule="auto"/>
      </w:pPr>
      <w:r>
        <w:separator/>
      </w:r>
    </w:p>
  </w:endnote>
  <w:endnote w:type="continuationSeparator" w:id="0">
    <w:p w14:paraId="2792F906" w14:textId="77777777" w:rsidR="003048F4" w:rsidRDefault="003048F4" w:rsidP="00C05F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ACE66" w14:textId="77777777" w:rsidR="00C05F57" w:rsidRPr="007C175F" w:rsidRDefault="00C05F57">
    <w:pPr>
      <w:pStyle w:val="Footer"/>
      <w:tabs>
        <w:tab w:val="clear" w:pos="4680"/>
        <w:tab w:val="clear" w:pos="9360"/>
      </w:tabs>
      <w:jc w:val="center"/>
      <w:rPr>
        <w:caps/>
        <w:noProof/>
      </w:rPr>
    </w:pPr>
    <w:r w:rsidRPr="007C175F">
      <w:rPr>
        <w:caps/>
      </w:rPr>
      <w:fldChar w:fldCharType="begin"/>
    </w:r>
    <w:r w:rsidRPr="007C175F">
      <w:rPr>
        <w:caps/>
      </w:rPr>
      <w:instrText xml:space="preserve"> PAGE   \* MERGEFORMAT </w:instrText>
    </w:r>
    <w:r w:rsidRPr="007C175F">
      <w:rPr>
        <w:caps/>
      </w:rPr>
      <w:fldChar w:fldCharType="separate"/>
    </w:r>
    <w:r w:rsidRPr="007C175F">
      <w:rPr>
        <w:caps/>
        <w:noProof/>
      </w:rPr>
      <w:t>2</w:t>
    </w:r>
    <w:r w:rsidRPr="007C175F">
      <w:rPr>
        <w:caps/>
        <w:noProof/>
      </w:rPr>
      <w:fldChar w:fldCharType="end"/>
    </w:r>
  </w:p>
  <w:p w14:paraId="470ACC1F" w14:textId="77777777" w:rsidR="00C05F57" w:rsidRDefault="00C05F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4BDAF1" w14:textId="77777777" w:rsidR="003048F4" w:rsidRDefault="003048F4" w:rsidP="00C05F57">
      <w:pPr>
        <w:spacing w:after="0" w:line="240" w:lineRule="auto"/>
      </w:pPr>
      <w:r>
        <w:separator/>
      </w:r>
    </w:p>
  </w:footnote>
  <w:footnote w:type="continuationSeparator" w:id="0">
    <w:p w14:paraId="390C7C1C" w14:textId="77777777" w:rsidR="003048F4" w:rsidRDefault="003048F4" w:rsidP="00C05F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A11FB6"/>
    <w:multiLevelType w:val="hybridMultilevel"/>
    <w:tmpl w:val="769A69A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42E51B28"/>
    <w:multiLevelType w:val="hybridMultilevel"/>
    <w:tmpl w:val="C77EC95A"/>
    <w:lvl w:ilvl="0" w:tplc="149282FE">
      <w:start w:val="2"/>
      <w:numFmt w:val="bullet"/>
      <w:lvlText w:val="-"/>
      <w:lvlJc w:val="left"/>
      <w:pPr>
        <w:ind w:left="1428" w:hanging="360"/>
      </w:pPr>
      <w:rPr>
        <w:rFonts w:ascii="Times New Roman" w:eastAsia="Times New Roman" w:hAnsi="Times New Roman"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 w15:restartNumberingAfterBreak="0">
    <w:nsid w:val="6D7C0835"/>
    <w:multiLevelType w:val="hybridMultilevel"/>
    <w:tmpl w:val="30D6C8C4"/>
    <w:lvl w:ilvl="0" w:tplc="3EAE0D3C">
      <w:start w:val="1"/>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ED53531"/>
    <w:multiLevelType w:val="hybridMultilevel"/>
    <w:tmpl w:val="82A44CAE"/>
    <w:lvl w:ilvl="0" w:tplc="26C0E20E">
      <w:numFmt w:val="bullet"/>
      <w:lvlText w:val="-"/>
      <w:lvlJc w:val="left"/>
      <w:pPr>
        <w:ind w:left="1068" w:hanging="360"/>
      </w:pPr>
      <w:rPr>
        <w:rFonts w:ascii="Book Antiqua" w:eastAsia="SimSun" w:hAnsi="Book Antiqua" w:cs="Times New Roman" w:hint="default"/>
        <w:color w:val="auto"/>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num w:numId="1" w16cid:durableId="519708232">
    <w:abstractNumId w:val="1"/>
  </w:num>
  <w:num w:numId="2" w16cid:durableId="1765496764">
    <w:abstractNumId w:val="0"/>
  </w:num>
  <w:num w:numId="3" w16cid:durableId="1077870999">
    <w:abstractNumId w:val="3"/>
  </w:num>
  <w:num w:numId="4" w16cid:durableId="10006215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1630"/>
    <w:rsid w:val="00003832"/>
    <w:rsid w:val="00027044"/>
    <w:rsid w:val="0003462B"/>
    <w:rsid w:val="00040ABA"/>
    <w:rsid w:val="0007534E"/>
    <w:rsid w:val="00084D6C"/>
    <w:rsid w:val="000A0465"/>
    <w:rsid w:val="000A49E7"/>
    <w:rsid w:val="000D3FD5"/>
    <w:rsid w:val="00124F12"/>
    <w:rsid w:val="001A2761"/>
    <w:rsid w:val="001B627D"/>
    <w:rsid w:val="002A01CE"/>
    <w:rsid w:val="002B2197"/>
    <w:rsid w:val="003048F4"/>
    <w:rsid w:val="00330FC7"/>
    <w:rsid w:val="004A7354"/>
    <w:rsid w:val="004C218F"/>
    <w:rsid w:val="004D1630"/>
    <w:rsid w:val="00514EEA"/>
    <w:rsid w:val="00541B09"/>
    <w:rsid w:val="005600B1"/>
    <w:rsid w:val="005949EC"/>
    <w:rsid w:val="005C504A"/>
    <w:rsid w:val="005F41E4"/>
    <w:rsid w:val="00631CA8"/>
    <w:rsid w:val="006B019B"/>
    <w:rsid w:val="006C297C"/>
    <w:rsid w:val="0071635A"/>
    <w:rsid w:val="00726A00"/>
    <w:rsid w:val="007851E0"/>
    <w:rsid w:val="007C175F"/>
    <w:rsid w:val="00820B50"/>
    <w:rsid w:val="008528D8"/>
    <w:rsid w:val="00852AE8"/>
    <w:rsid w:val="00886767"/>
    <w:rsid w:val="0089392A"/>
    <w:rsid w:val="00920132"/>
    <w:rsid w:val="009819EB"/>
    <w:rsid w:val="00982A18"/>
    <w:rsid w:val="00990F7F"/>
    <w:rsid w:val="009B362F"/>
    <w:rsid w:val="009F4F68"/>
    <w:rsid w:val="009F5F9B"/>
    <w:rsid w:val="00A057DB"/>
    <w:rsid w:val="00A263DD"/>
    <w:rsid w:val="00A3646D"/>
    <w:rsid w:val="00A50068"/>
    <w:rsid w:val="00A549CF"/>
    <w:rsid w:val="00AE2833"/>
    <w:rsid w:val="00AF2BF8"/>
    <w:rsid w:val="00B1537D"/>
    <w:rsid w:val="00B3548B"/>
    <w:rsid w:val="00B92E5F"/>
    <w:rsid w:val="00BA3BCD"/>
    <w:rsid w:val="00C05F57"/>
    <w:rsid w:val="00C50AD6"/>
    <w:rsid w:val="00CA4323"/>
    <w:rsid w:val="00CB73A5"/>
    <w:rsid w:val="00CC0E0F"/>
    <w:rsid w:val="00CF1859"/>
    <w:rsid w:val="00D53FB3"/>
    <w:rsid w:val="00D659B3"/>
    <w:rsid w:val="00DA2979"/>
    <w:rsid w:val="00DA3803"/>
    <w:rsid w:val="00E009E2"/>
    <w:rsid w:val="00E067DA"/>
    <w:rsid w:val="00E15F2E"/>
    <w:rsid w:val="00E50770"/>
    <w:rsid w:val="00E617BE"/>
    <w:rsid w:val="00E64B50"/>
    <w:rsid w:val="00E76060"/>
    <w:rsid w:val="00EB49E7"/>
    <w:rsid w:val="00EE7437"/>
    <w:rsid w:val="00F709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89708B"/>
  <w15:chartTrackingRefBased/>
  <w15:docId w15:val="{793311D0-20D8-45C0-9019-E09CA3429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B09"/>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41B09"/>
    <w:pPr>
      <w:spacing w:after="0" w:line="240" w:lineRule="auto"/>
      <w:jc w:val="center"/>
    </w:pPr>
    <w:rPr>
      <w:rFonts w:ascii="Times New Roman" w:eastAsia="Times New Roman" w:hAnsi="Times New Roman" w:cs="Times New Roman"/>
      <w:b/>
      <w:sz w:val="24"/>
      <w:szCs w:val="24"/>
      <w:lang w:val="ro-RO"/>
    </w:rPr>
  </w:style>
  <w:style w:type="character" w:customStyle="1" w:styleId="BodyTextChar">
    <w:name w:val="Body Text Char"/>
    <w:basedOn w:val="DefaultParagraphFont"/>
    <w:link w:val="BodyText"/>
    <w:rsid w:val="00541B09"/>
    <w:rPr>
      <w:rFonts w:ascii="Times New Roman" w:eastAsia="Times New Roman" w:hAnsi="Times New Roman" w:cs="Times New Roman"/>
      <w:b/>
      <w:kern w:val="0"/>
      <w:sz w:val="24"/>
      <w:szCs w:val="24"/>
      <w:lang w:val="ro-RO"/>
      <w14:ligatures w14:val="none"/>
    </w:rPr>
  </w:style>
  <w:style w:type="paragraph" w:styleId="Header">
    <w:name w:val="header"/>
    <w:basedOn w:val="Normal"/>
    <w:link w:val="HeaderChar"/>
    <w:uiPriority w:val="99"/>
    <w:unhideWhenUsed/>
    <w:rsid w:val="00C05F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5F57"/>
    <w:rPr>
      <w:kern w:val="0"/>
      <w14:ligatures w14:val="none"/>
    </w:rPr>
  </w:style>
  <w:style w:type="paragraph" w:styleId="Footer">
    <w:name w:val="footer"/>
    <w:basedOn w:val="Normal"/>
    <w:link w:val="FooterChar"/>
    <w:uiPriority w:val="99"/>
    <w:unhideWhenUsed/>
    <w:rsid w:val="00C05F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5F57"/>
    <w:rPr>
      <w:kern w:val="0"/>
      <w14:ligatures w14:val="none"/>
    </w:rPr>
  </w:style>
  <w:style w:type="paragraph" w:styleId="ListParagraph">
    <w:name w:val="List Paragraph"/>
    <w:basedOn w:val="Normal"/>
    <w:uiPriority w:val="34"/>
    <w:qFormat/>
    <w:rsid w:val="00A50068"/>
    <w:pPr>
      <w:ind w:left="720"/>
      <w:contextualSpacing/>
    </w:pPr>
    <w:rPr>
      <w:rFonts w:ascii="Calibri" w:eastAsia="Calibri" w:hAnsi="Calibri" w:cs="Times New Roman"/>
    </w:rPr>
  </w:style>
  <w:style w:type="paragraph" w:styleId="NoSpacing">
    <w:name w:val="No Spacing"/>
    <w:uiPriority w:val="1"/>
    <w:qFormat/>
    <w:rsid w:val="008528D8"/>
    <w:pPr>
      <w:spacing w:after="0" w:line="240" w:lineRule="auto"/>
    </w:pPr>
    <w:rPr>
      <w:rFonts w:ascii="Times New Roman" w:eastAsia="Times New Roman" w:hAnsi="Times New Roman" w:cs="Times New Roman"/>
      <w:kern w:val="0"/>
      <w:sz w:val="24"/>
      <w:szCs w:val="24"/>
      <w14:ligatures w14:val="none"/>
    </w:rPr>
  </w:style>
  <w:style w:type="character" w:customStyle="1" w:styleId="do1">
    <w:name w:val="do1"/>
    <w:rsid w:val="009F5F9B"/>
    <w:rPr>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19F752-113D-4FCE-914A-BFE01E60F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Pages>
  <Words>2210</Words>
  <Characters>12599</Characters>
  <Application>Microsoft Office Word</Application>
  <DocSecurity>0</DocSecurity>
  <Lines>104</Lines>
  <Paragraphs>29</Paragraphs>
  <ScaleCrop>false</ScaleCrop>
  <Company/>
  <LinksUpToDate>false</LinksUpToDate>
  <CharactersWithSpaces>14780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Alexandru Bota</dc:creator>
  <cp:keywords/>
  <dc:description/>
  <cp:lastModifiedBy>Alexandru Bota</cp:lastModifiedBy>
  <cp:revision>33</cp:revision>
  <cp:lastPrinted>2024-04-17T10:35:00Z</cp:lastPrinted>
  <dcterms:created xsi:type="dcterms:W3CDTF">2023-10-26T10:02:00Z</dcterms:created>
  <dcterms:modified xsi:type="dcterms:W3CDTF">2025-10-28T09:17:00Z</dcterms:modified>
</cp:coreProperties>
</file>